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form424b314132011_07092026.htm"/>
      <w:bookmarkStart w:id="1" w:name="ksform424b314132011_07092026"/>
      <w:bookmarkStart w:id="2" w:name="form424b314132011_07092026.htm"/>
      <w:bookmarkStart w:id="3" w:name="ksform424b314132011_07092026"/>
      <w:bookmarkEnd w:id="2"/>
      <w:bookmarkEnd w:id="3"/>
    </w:p>
    <w:tbl>
      <w:tblPr>
        <w:tblW w:w="3991" w:type="dxa"/>
        <w:jc w:val="left"/>
        <w:tblInd w:w="0" w:type="dxa"/>
        <w:tblLayout w:type="fixed"/>
        <w:tblCellMar>
          <w:top w:w="0" w:type="dxa"/>
          <w:left w:w="0" w:type="dxa"/>
          <w:bottom w:w="0" w:type="dxa"/>
          <w:right w:w="0" w:type="dxa"/>
        </w:tblCellMar>
      </w:tblPr>
      <w:tblGrid>
        <w:gridCol w:w="1292"/>
        <w:gridCol w:w="2699"/>
      </w:tblGrid>
      <w:tr>
        <w:trPr/>
        <w:tc>
          <w:tcPr>
            <w:tcW w:w="1292" w:type="dxa"/>
            <w:vMerge w:val="restart"/>
            <w:tcBorders/>
            <w:vAlign w:val="center"/>
          </w:tcPr>
          <w:p>
            <w:pPr>
              <w:pStyle w:val="TableContents"/>
              <w:bidi w:val="0"/>
              <w:spacing w:before="0" w:after="283"/>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PROSPECTUS</w:t>
            </w:r>
          </w:p>
        </w:tc>
        <w:tc>
          <w:tcPr>
            <w:tcW w:w="2699" w:type="dxa"/>
            <w:tcBorders/>
            <w:vAlign w:val="center"/>
          </w:tcPr>
          <w:p>
            <w:pPr>
              <w:pStyle w:val="TableContents"/>
              <w:bidi w:val="0"/>
              <w:spacing w:before="0" w:after="283"/>
              <w:jc w:val="righ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Filed Pursuant to Rule 424(b)(3)</w:t>
            </w:r>
          </w:p>
        </w:tc>
      </w:tr>
      <w:tr>
        <w:trPr/>
        <w:tc>
          <w:tcPr>
            <w:tcW w:w="1292" w:type="dxa"/>
            <w:vMerge w:val="continue"/>
            <w:tcBorders/>
            <w:vAlign w:val="center"/>
          </w:tcPr>
          <w:p>
            <w:pPr>
              <w:pStyle w:val="Normal"/>
              <w:bidi w:val="0"/>
              <w:jc w:val="left"/>
              <w:rPr/>
            </w:pPr>
            <w:r>
              <w:rPr/>
            </w:r>
          </w:p>
        </w:tc>
        <w:tc>
          <w:tcPr>
            <w:tcW w:w="2699" w:type="dxa"/>
            <w:tcBorders/>
            <w:vAlign w:val="center"/>
          </w:tcPr>
          <w:p>
            <w:pPr>
              <w:pStyle w:val="TableContents"/>
              <w:bidi w:val="0"/>
              <w:spacing w:before="0" w:after="283"/>
              <w:jc w:val="righ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Registration No. 333- 295953</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1623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2300" cy="8667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$200,000,000</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2"/>
          <w:sz w:val="20"/>
        </w:rPr>
        <w:t>CLASS A COMMON STOCK</w:t>
        <w:br/>
      </w:r>
      <w:r>
        <w:rPr>
          <w:rFonts w:ascii="Times New Roman;Times;Serif" w:hAnsi="Times New Roman;Times;Serif"/>
          <w:b/>
          <w:i w:val="false"/>
          <w:caps w:val="false"/>
          <w:smallCaps w:val="false"/>
          <w:sz w:val="20"/>
        </w:rPr>
        <w:t>PREFERRED STOCK</w:t>
        <w:br/>
        <w:t>DEBT SECURITIES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6"/>
          <w:sz w:val="20"/>
        </w:rPr>
        <w:t>WARRANTS</w:t>
        <w:br/>
      </w:r>
      <w:r>
        <w:rPr>
          <w:rFonts w:ascii="Times New Roman;Times;Serif" w:hAnsi="Times New Roman;Times;Serif"/>
          <w:b/>
          <w:i w:val="false"/>
          <w:caps w:val="false"/>
          <w:smallCaps w:val="false"/>
          <w:spacing w:val="-2"/>
          <w:sz w:val="20"/>
        </w:rPr>
        <w:t>RIGHTS</w:t>
        <w:br/>
        <w:t>UNITS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any combination of the securities described in this prospectus in one or more offerings. The securities we may offer may be convertible into or exercisable or exchangeable for other securities. We may offer the securities separately or together, in separate classes or series and in amounts, at prices and on terms that will be determined at the time the securities are offered.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some of the general terms that may apply to these securities. Each time securities are sold, the specific terms and amounts of the securities being offered, and any other information relating to the specific offering will be set forth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This prospectus may not be used to sell our securities unless accompanied by a prospectus supplement.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Class A common stock trade on The Nasdaq Global Select Market (“Nasdaq”) under the symbol “GREE.” On July 8, 2026, the closing price of our Class A common stock was $2.07. The applicable prospectus supplement will contain information, where applicable, as to any other listing, if any, of the securities covered by the applicable prospectus supplement.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our securities to or through one or more underwriters, dealers and agents, or directly to purchasers, on an immediate, continuous or delayed basis. The names of any underwriters, dealers or agents and the terms of the arrangements with such entities will be stated in the accompanying prospectus supplement. See the sections of this prospectus entitled “About this Prospectus” and “Plan of Distribution” for more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aggregate market value of our outstanding Class A common stock held by non-affiliates is approximately $27,511,641, which is calculated based on 13,290,648 outstanding shares of Class A common stock held by non-affiliates and a price of $2.07 per share, the closing price of our Class A common stock on July 8, 2026, which is the highest closing sale price of our Class A common stock on Nasdaq within the 60 days prior to the date of this prospectus. Pursuant to General Instruction I.B.6 of Form S-3, in no event will we sell securities pursuant to this prospectus with a value of more than one-third of the aggregate market value of our Class A common stock held by non-affiliates in any 12-month period, so long as the aggregate market value of our Class A common stock held by non-affiliates is less than $75 million. During the prior 12 calendar month period ending on and including the date hereof, we have not sold any securities pursuant to General Instruction I.B.6 to Form S-3.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lineRule="auto" w:line="247" w:before="60" w:after="60"/>
        <w:ind w:left="60" w:right="60" w:firstLine="720"/>
        <w:jc w:val="both"/>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Investing in our securities involves a high degree of risk. You should review carefully the risks and uncertainties referenced under the heading “Risk Factors” on page 6 of this prospectus as well as those contained in the applicable prospectus supplement and any related free writing prospectus, and in the other documents that are incorporated by reference into this prospectus or the applicable prospectus supplement.</w:t>
      </w:r>
    </w:p>
    <w:p>
      <w:pPr>
        <w:pStyle w:val="TextBody"/>
        <w:bidi w:val="0"/>
        <w:spacing w:before="4" w:after="4"/>
        <w:ind w:left="4" w:right="4" w:firstLine="720"/>
        <w:jc w:val="both"/>
        <w:rPr>
          <w:caps w:val="false"/>
          <w:smallCaps w:val="false"/>
        </w:rPr>
      </w:pPr>
      <w:r>
        <w:rPr>
          <w:caps w:val="false"/>
          <w:smallCaps w:val="false"/>
        </w:rPr>
        <w:t> </w:t>
      </w:r>
    </w:p>
    <w:p>
      <w:pPr>
        <w:pStyle w:val="TextBody"/>
        <w:bidi w:val="0"/>
        <w:spacing w:lineRule="auto" w:line="247"/>
        <w:ind w:left="0" w:right="0" w:firstLine="720"/>
        <w:jc w:val="both"/>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5" w:after="5"/>
        <w:ind w:left="5" w:right="5"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of this prospectus </w:t>
      </w:r>
      <w:r>
        <w:rPr>
          <w:rFonts w:ascii="Times New Roman;Times;Serif" w:hAnsi="Times New Roman;Times;Serif"/>
          <w:b w:val="false"/>
          <w:i w:val="false"/>
          <w:caps w:val="false"/>
          <w:smallCaps w:val="false"/>
          <w:spacing w:val="-5"/>
          <w:sz w:val="20"/>
        </w:rPr>
        <w:t>is</w:t>
      </w:r>
      <w:r>
        <w:rPr>
          <w:rFonts w:ascii="Times New Roman;Times;Serif" w:hAnsi="Times New Roman;Times;Serif"/>
          <w:b w:val="false"/>
          <w:i w:val="false"/>
          <w:caps w:val="false"/>
          <w:smallCaps w:val="false"/>
          <w:sz w:val="20"/>
        </w:rPr>
        <w:t xml:space="preserve"> July 8, </w:t>
      </w:r>
      <w:r>
        <w:rPr>
          <w:rFonts w:ascii="Times New Roman;Times;Serif" w:hAnsi="Times New Roman;Times;Serif"/>
          <w:b w:val="false"/>
          <w:i w:val="false"/>
          <w:caps w:val="false"/>
          <w:smallCaps w:val="false"/>
          <w:spacing w:val="-4"/>
          <w:sz w:val="20"/>
        </w:rPr>
        <w:t>2026 </w:t>
      </w:r>
    </w:p>
    <w:p>
      <w:pPr>
        <w:pStyle w:val="TextBody"/>
        <w:bidi w:val="0"/>
        <w:spacing w:before="97" w:after="97"/>
        <w:ind w:left="97" w:right="97"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bookmarkStart w:id="4" w:name="TableOfContents"/>
      <w:bookmarkEnd w:id="4"/>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8840"/>
        <w:gridCol w:w="455"/>
      </w:tblGrid>
      <w:tr>
        <w:trPr/>
        <w:tc>
          <w:tcPr>
            <w:tcW w:w="8840" w:type="dxa"/>
            <w:tcBorders/>
            <w:vAlign w:val="center"/>
          </w:tcPr>
          <w:p>
            <w:pPr>
              <w:pStyle w:val="TableContents"/>
              <w:bidi w:val="0"/>
              <w:spacing w:before="0" w:after="283"/>
              <w:jc w:val="left"/>
              <w:rPr/>
            </w:pPr>
            <w:r>
              <w:rPr/>
              <w:t> </w:t>
            </w:r>
          </w:p>
        </w:tc>
        <w:tc>
          <w:tcPr>
            <w:tcW w:w="455"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840" w:type="dxa"/>
            <w:tcBorders/>
            <w:shd w:fill="CCEEFF" w:val="clear"/>
            <w:vAlign w:val="center"/>
          </w:tcPr>
          <w:p>
            <w:pPr>
              <w:pStyle w:val="TableContents"/>
              <w:bidi w:val="0"/>
              <w:spacing w:before="0" w:after="283"/>
              <w:jc w:val="left"/>
              <w:rPr/>
            </w:pPr>
            <w:hyperlink w:anchor="ABOUTTHISPROSPECTUS">
              <w:r>
                <w:rPr>
                  <w:rStyle w:val="InternetLink"/>
                </w:rPr>
                <w:t>ABOUT THIS PROSPECTUS</w:t>
              </w:r>
            </w:hyperlink>
          </w:p>
        </w:tc>
        <w:tc>
          <w:tcPr>
            <w:tcW w:w="455" w:type="dxa"/>
            <w:tcBorders/>
            <w:shd w:fill="CCEEFF" w:val="clear"/>
            <w:vAlign w:val="center"/>
          </w:tcPr>
          <w:p>
            <w:pPr>
              <w:pStyle w:val="TableContents"/>
              <w:bidi w:val="0"/>
              <w:spacing w:before="0" w:after="283"/>
              <w:ind w:left="0" w:right="0" w:hanging="0"/>
              <w:jc w:val="center"/>
              <w:rPr/>
            </w:pPr>
            <w:hyperlink w:anchor="ABOUTTHISPROSPECTUS">
              <w:r>
                <w:rPr>
                  <w:rStyle w:val="InternetLink"/>
                </w:rPr>
                <w:t>ii</w:t>
              </w:r>
            </w:hyperlink>
          </w:p>
        </w:tc>
      </w:tr>
      <w:tr>
        <w:trPr/>
        <w:tc>
          <w:tcPr>
            <w:tcW w:w="8840" w:type="dxa"/>
            <w:tcBorders/>
            <w:shd w:fill="FFFFFF" w:val="clear"/>
            <w:vAlign w:val="center"/>
          </w:tcPr>
          <w:p>
            <w:pPr>
              <w:pStyle w:val="TableContents"/>
              <w:bidi w:val="0"/>
              <w:spacing w:before="0" w:after="283"/>
              <w:jc w:val="left"/>
              <w:rPr/>
            </w:pPr>
            <w:hyperlink w:anchor="ABOUTTHECOMPANY">
              <w:r>
                <w:rPr>
                  <w:rStyle w:val="InternetLink"/>
                </w:rPr>
                <w:t>ABOUT THE COMPANY</w:t>
              </w:r>
            </w:hyperlink>
          </w:p>
        </w:tc>
        <w:tc>
          <w:tcPr>
            <w:tcW w:w="455" w:type="dxa"/>
            <w:tcBorders/>
            <w:shd w:fill="FFFFFF" w:val="clear"/>
            <w:vAlign w:val="center"/>
          </w:tcPr>
          <w:p>
            <w:pPr>
              <w:pStyle w:val="TableContents"/>
              <w:bidi w:val="0"/>
              <w:spacing w:before="0" w:after="283"/>
              <w:jc w:val="center"/>
              <w:rPr/>
            </w:pPr>
            <w:hyperlink w:anchor="ABOUTTHECOMPANY">
              <w:r>
                <w:rPr>
                  <w:rStyle w:val="InternetLink"/>
                </w:rPr>
                <w:t>1</w:t>
              </w:r>
            </w:hyperlink>
          </w:p>
        </w:tc>
      </w:tr>
      <w:tr>
        <w:trPr/>
        <w:tc>
          <w:tcPr>
            <w:tcW w:w="8840" w:type="dxa"/>
            <w:tcBorders/>
            <w:shd w:fill="CCEEFF" w:val="clear"/>
            <w:vAlign w:val="center"/>
          </w:tcPr>
          <w:p>
            <w:pPr>
              <w:pStyle w:val="TableContents"/>
              <w:bidi w:val="0"/>
              <w:spacing w:before="0" w:after="283"/>
              <w:jc w:val="left"/>
              <w:rPr/>
            </w:pPr>
            <w:hyperlink w:anchor="RISKFACTORS">
              <w:r>
                <w:rPr>
                  <w:rStyle w:val="InternetLink"/>
                </w:rPr>
                <w:t>RISK FACTORS</w:t>
              </w:r>
            </w:hyperlink>
          </w:p>
        </w:tc>
        <w:tc>
          <w:tcPr>
            <w:tcW w:w="455" w:type="dxa"/>
            <w:tcBorders/>
            <w:shd w:fill="CCEEFF" w:val="clear"/>
            <w:vAlign w:val="center"/>
          </w:tcPr>
          <w:p>
            <w:pPr>
              <w:pStyle w:val="TableContents"/>
              <w:bidi w:val="0"/>
              <w:spacing w:before="0" w:after="283"/>
              <w:jc w:val="center"/>
              <w:rPr/>
            </w:pPr>
            <w:hyperlink w:anchor="RISKFACTORS">
              <w:r>
                <w:rPr>
                  <w:rStyle w:val="InternetLink"/>
                </w:rPr>
                <w:t>6</w:t>
              </w:r>
            </w:hyperlink>
          </w:p>
        </w:tc>
      </w:tr>
      <w:tr>
        <w:trPr/>
        <w:tc>
          <w:tcPr>
            <w:tcW w:w="8840" w:type="dxa"/>
            <w:tcBorders/>
            <w:shd w:fill="FFFFFF" w:val="clear"/>
            <w:vAlign w:val="center"/>
          </w:tcPr>
          <w:p>
            <w:pPr>
              <w:pStyle w:val="TableContents"/>
              <w:bidi w:val="0"/>
              <w:spacing w:before="0" w:after="283"/>
              <w:jc w:val="left"/>
              <w:rPr/>
            </w:pPr>
            <w:hyperlink w:anchor="CAUTIONARYSTATEMENTREGARDINGFORWARDLOOKINGSTATEMENTS">
              <w:r>
                <w:rPr>
                  <w:rStyle w:val="InternetLink"/>
                </w:rPr>
                <w:t>CAUTIONARY STATEMENT REGARDING FORWARD-LOOKING STATEMENTS</w:t>
              </w:r>
            </w:hyperlink>
          </w:p>
        </w:tc>
        <w:tc>
          <w:tcPr>
            <w:tcW w:w="455" w:type="dxa"/>
            <w:tcBorders/>
            <w:shd w:fill="FFFFFF" w:val="clear"/>
            <w:vAlign w:val="center"/>
          </w:tcPr>
          <w:p>
            <w:pPr>
              <w:pStyle w:val="TableContents"/>
              <w:bidi w:val="0"/>
              <w:spacing w:before="0" w:after="283"/>
              <w:jc w:val="center"/>
              <w:rPr/>
            </w:pPr>
            <w:hyperlink w:anchor="CAUTIONARYSTATEMENTREGARDINGFORWARDLOOKINGSTATEMENTS">
              <w:r>
                <w:rPr>
                  <w:rStyle w:val="InternetLink"/>
                </w:rPr>
                <w:t>7</w:t>
              </w:r>
            </w:hyperlink>
          </w:p>
        </w:tc>
      </w:tr>
      <w:tr>
        <w:trPr/>
        <w:tc>
          <w:tcPr>
            <w:tcW w:w="8840" w:type="dxa"/>
            <w:tcBorders/>
            <w:shd w:fill="CCEEFF" w:val="clear"/>
            <w:vAlign w:val="center"/>
          </w:tcPr>
          <w:p>
            <w:pPr>
              <w:pStyle w:val="TableContents"/>
              <w:bidi w:val="0"/>
              <w:spacing w:before="0" w:after="283"/>
              <w:jc w:val="left"/>
              <w:rPr/>
            </w:pPr>
            <w:hyperlink w:anchor="USEOFPROCEEDS">
              <w:r>
                <w:rPr>
                  <w:rStyle w:val="InternetLink"/>
                </w:rPr>
                <w:t>USE OF PROCEEDS</w:t>
              </w:r>
            </w:hyperlink>
          </w:p>
        </w:tc>
        <w:tc>
          <w:tcPr>
            <w:tcW w:w="455" w:type="dxa"/>
            <w:tcBorders/>
            <w:shd w:fill="CCEEFF" w:val="clear"/>
            <w:vAlign w:val="center"/>
          </w:tcPr>
          <w:p>
            <w:pPr>
              <w:pStyle w:val="TableContents"/>
              <w:bidi w:val="0"/>
              <w:spacing w:before="0" w:after="283"/>
              <w:jc w:val="center"/>
              <w:rPr/>
            </w:pPr>
            <w:hyperlink w:anchor="USEOFPROCEEDS">
              <w:r>
                <w:rPr>
                  <w:rStyle w:val="InternetLink"/>
                </w:rPr>
                <w:t>8</w:t>
              </w:r>
            </w:hyperlink>
          </w:p>
        </w:tc>
      </w:tr>
      <w:tr>
        <w:trPr/>
        <w:tc>
          <w:tcPr>
            <w:tcW w:w="8840" w:type="dxa"/>
            <w:tcBorders/>
            <w:shd w:fill="FFFFFF" w:val="clear"/>
            <w:vAlign w:val="center"/>
          </w:tcPr>
          <w:p>
            <w:pPr>
              <w:pStyle w:val="TableContents"/>
              <w:bidi w:val="0"/>
              <w:spacing w:before="0" w:after="283"/>
              <w:jc w:val="left"/>
              <w:rPr/>
            </w:pPr>
            <w:hyperlink w:anchor="DESCRIPTIONOFOURCAPITALSTOCK">
              <w:r>
                <w:rPr>
                  <w:rStyle w:val="InternetLink"/>
                </w:rPr>
                <w:t>DESCRIPTION OF OUR CAPITAL STOCK</w:t>
              </w:r>
            </w:hyperlink>
          </w:p>
        </w:tc>
        <w:tc>
          <w:tcPr>
            <w:tcW w:w="455" w:type="dxa"/>
            <w:tcBorders/>
            <w:shd w:fill="FFFFFF" w:val="clear"/>
            <w:vAlign w:val="center"/>
          </w:tcPr>
          <w:p>
            <w:pPr>
              <w:pStyle w:val="TableContents"/>
              <w:bidi w:val="0"/>
              <w:spacing w:before="0" w:after="283"/>
              <w:jc w:val="center"/>
              <w:rPr/>
            </w:pPr>
            <w:hyperlink w:anchor="DESCRIPTIONOFOURCAPITALSTOCK">
              <w:r>
                <w:rPr>
                  <w:rStyle w:val="InternetLink"/>
                </w:rPr>
                <w:t>9</w:t>
              </w:r>
            </w:hyperlink>
          </w:p>
        </w:tc>
      </w:tr>
      <w:tr>
        <w:trPr/>
        <w:tc>
          <w:tcPr>
            <w:tcW w:w="8840" w:type="dxa"/>
            <w:tcBorders/>
            <w:shd w:fill="CCEEFF" w:val="clear"/>
            <w:vAlign w:val="center"/>
          </w:tcPr>
          <w:p>
            <w:pPr>
              <w:pStyle w:val="TableContents"/>
              <w:bidi w:val="0"/>
              <w:spacing w:before="0" w:after="283"/>
              <w:jc w:val="left"/>
              <w:rPr/>
            </w:pPr>
            <w:hyperlink w:anchor="DESCRIPTIONOFOURDEBTSECURITIES">
              <w:r>
                <w:rPr>
                  <w:rStyle w:val="InternetLink"/>
                </w:rPr>
                <w:t>DESCRIPTION OF OUR DEBT SECURITIES</w:t>
              </w:r>
            </w:hyperlink>
          </w:p>
        </w:tc>
        <w:tc>
          <w:tcPr>
            <w:tcW w:w="455" w:type="dxa"/>
            <w:tcBorders/>
            <w:shd w:fill="CCEEFF" w:val="clear"/>
            <w:vAlign w:val="center"/>
          </w:tcPr>
          <w:p>
            <w:pPr>
              <w:pStyle w:val="TableContents"/>
              <w:bidi w:val="0"/>
              <w:spacing w:before="0" w:after="283"/>
              <w:jc w:val="center"/>
              <w:rPr/>
            </w:pPr>
            <w:hyperlink w:anchor="DESCRIPTIONOFOURDEBTSECURITIES">
              <w:r>
                <w:rPr>
                  <w:rStyle w:val="InternetLink"/>
                </w:rPr>
                <w:t>8</w:t>
              </w:r>
            </w:hyperlink>
          </w:p>
        </w:tc>
      </w:tr>
      <w:tr>
        <w:trPr/>
        <w:tc>
          <w:tcPr>
            <w:tcW w:w="8840" w:type="dxa"/>
            <w:tcBorders/>
            <w:shd w:fill="FFFFFF" w:val="clear"/>
            <w:vAlign w:val="center"/>
          </w:tcPr>
          <w:p>
            <w:pPr>
              <w:pStyle w:val="TableContents"/>
              <w:bidi w:val="0"/>
              <w:spacing w:before="0" w:after="283"/>
              <w:jc w:val="left"/>
              <w:rPr/>
            </w:pPr>
            <w:hyperlink w:anchor="DESCRIPTIONOFOURWARRANTS">
              <w:r>
                <w:rPr>
                  <w:rStyle w:val="InternetLink"/>
                </w:rPr>
                <w:t>DESCRIPTION OF OUR WARRANTS</w:t>
              </w:r>
            </w:hyperlink>
          </w:p>
        </w:tc>
        <w:tc>
          <w:tcPr>
            <w:tcW w:w="455" w:type="dxa"/>
            <w:tcBorders/>
            <w:shd w:fill="FFFFFF" w:val="clear"/>
            <w:vAlign w:val="center"/>
          </w:tcPr>
          <w:p>
            <w:pPr>
              <w:pStyle w:val="TableContents"/>
              <w:bidi w:val="0"/>
              <w:spacing w:before="0" w:after="283"/>
              <w:jc w:val="center"/>
              <w:rPr/>
            </w:pPr>
            <w:hyperlink w:anchor="DESCRIPTIONOFOURWARRANTS">
              <w:r>
                <w:rPr>
                  <w:rStyle w:val="InternetLink"/>
                </w:rPr>
                <w:t>20</w:t>
              </w:r>
            </w:hyperlink>
          </w:p>
        </w:tc>
      </w:tr>
      <w:tr>
        <w:trPr/>
        <w:tc>
          <w:tcPr>
            <w:tcW w:w="8840" w:type="dxa"/>
            <w:tcBorders/>
            <w:shd w:fill="CCEEFF" w:val="clear"/>
            <w:vAlign w:val="center"/>
          </w:tcPr>
          <w:p>
            <w:pPr>
              <w:pStyle w:val="TableContents"/>
              <w:bidi w:val="0"/>
              <w:spacing w:before="0" w:after="283"/>
              <w:jc w:val="left"/>
              <w:rPr/>
            </w:pPr>
            <w:hyperlink w:anchor="DESCRIPTIONOFOURRIGHTS">
              <w:r>
                <w:rPr>
                  <w:rStyle w:val="InternetLink"/>
                </w:rPr>
                <w:t>DESCRIPTION OF OUR RIGHTS</w:t>
              </w:r>
            </w:hyperlink>
          </w:p>
        </w:tc>
        <w:tc>
          <w:tcPr>
            <w:tcW w:w="455" w:type="dxa"/>
            <w:tcBorders/>
            <w:shd w:fill="CCEEFF" w:val="clear"/>
            <w:vAlign w:val="center"/>
          </w:tcPr>
          <w:p>
            <w:pPr>
              <w:pStyle w:val="TableContents"/>
              <w:bidi w:val="0"/>
              <w:spacing w:before="0" w:after="283"/>
              <w:jc w:val="center"/>
              <w:rPr/>
            </w:pPr>
            <w:hyperlink w:anchor="DESCRIPTIONOFOURRIGHTS">
              <w:r>
                <w:rPr>
                  <w:rStyle w:val="InternetLink"/>
                </w:rPr>
                <w:t>24</w:t>
              </w:r>
            </w:hyperlink>
          </w:p>
        </w:tc>
      </w:tr>
      <w:tr>
        <w:trPr/>
        <w:tc>
          <w:tcPr>
            <w:tcW w:w="8840" w:type="dxa"/>
            <w:tcBorders/>
            <w:shd w:fill="FFFFFF" w:val="clear"/>
            <w:vAlign w:val="center"/>
          </w:tcPr>
          <w:p>
            <w:pPr>
              <w:pStyle w:val="TableContents"/>
              <w:bidi w:val="0"/>
              <w:spacing w:before="0" w:after="283"/>
              <w:jc w:val="left"/>
              <w:rPr/>
            </w:pPr>
            <w:hyperlink w:anchor="DESCRIPTIONOFOURUNITS">
              <w:r>
                <w:rPr>
                  <w:rStyle w:val="InternetLink"/>
                </w:rPr>
                <w:t>DESCRIPTION OF OUR UNITS</w:t>
              </w:r>
            </w:hyperlink>
          </w:p>
        </w:tc>
        <w:tc>
          <w:tcPr>
            <w:tcW w:w="455" w:type="dxa"/>
            <w:tcBorders/>
            <w:shd w:fill="FFFFFF" w:val="clear"/>
            <w:vAlign w:val="center"/>
          </w:tcPr>
          <w:p>
            <w:pPr>
              <w:pStyle w:val="TableContents"/>
              <w:bidi w:val="0"/>
              <w:spacing w:before="0" w:after="283"/>
              <w:jc w:val="center"/>
              <w:rPr/>
            </w:pPr>
            <w:hyperlink w:anchor="DESCRIPTIONOFOURUNITS">
              <w:r>
                <w:rPr>
                  <w:rStyle w:val="InternetLink"/>
                </w:rPr>
                <w:t>25</w:t>
              </w:r>
            </w:hyperlink>
          </w:p>
        </w:tc>
      </w:tr>
      <w:tr>
        <w:trPr/>
        <w:tc>
          <w:tcPr>
            <w:tcW w:w="8840" w:type="dxa"/>
            <w:tcBorders/>
            <w:shd w:fill="CCEEFF" w:val="clear"/>
            <w:vAlign w:val="center"/>
          </w:tcPr>
          <w:p>
            <w:pPr>
              <w:pStyle w:val="TableContents"/>
              <w:bidi w:val="0"/>
              <w:spacing w:before="0" w:after="283"/>
              <w:jc w:val="left"/>
              <w:rPr/>
            </w:pPr>
            <w:hyperlink w:anchor="PLANOFDISTRIBUTION">
              <w:r>
                <w:rPr>
                  <w:rStyle w:val="InternetLink"/>
                </w:rPr>
                <w:t>PLAN OF DISTRIBUTION</w:t>
              </w:r>
            </w:hyperlink>
          </w:p>
        </w:tc>
        <w:tc>
          <w:tcPr>
            <w:tcW w:w="455" w:type="dxa"/>
            <w:tcBorders/>
            <w:shd w:fill="CCEEFF" w:val="clear"/>
            <w:vAlign w:val="center"/>
          </w:tcPr>
          <w:p>
            <w:pPr>
              <w:pStyle w:val="TableContents"/>
              <w:bidi w:val="0"/>
              <w:spacing w:before="0" w:after="283"/>
              <w:jc w:val="center"/>
              <w:rPr/>
            </w:pPr>
            <w:hyperlink w:anchor="PLANOFDISTRIBUTION">
              <w:r>
                <w:rPr>
                  <w:rStyle w:val="InternetLink"/>
                </w:rPr>
                <w:t>26</w:t>
              </w:r>
            </w:hyperlink>
          </w:p>
        </w:tc>
      </w:tr>
      <w:tr>
        <w:trPr/>
        <w:tc>
          <w:tcPr>
            <w:tcW w:w="8840" w:type="dxa"/>
            <w:tcBorders/>
            <w:shd w:fill="FFFFFF" w:val="clear"/>
            <w:vAlign w:val="center"/>
          </w:tcPr>
          <w:p>
            <w:pPr>
              <w:pStyle w:val="TableContents"/>
              <w:bidi w:val="0"/>
              <w:spacing w:before="0" w:after="283"/>
              <w:jc w:val="left"/>
              <w:rPr/>
            </w:pPr>
            <w:hyperlink w:anchor="LEGALMATTERS">
              <w:r>
                <w:rPr>
                  <w:rStyle w:val="InternetLink"/>
                </w:rPr>
                <w:t>LEGAL MATTERS</w:t>
              </w:r>
            </w:hyperlink>
          </w:p>
        </w:tc>
        <w:tc>
          <w:tcPr>
            <w:tcW w:w="455" w:type="dxa"/>
            <w:tcBorders/>
            <w:shd w:fill="FFFFFF" w:val="clear"/>
            <w:vAlign w:val="center"/>
          </w:tcPr>
          <w:p>
            <w:pPr>
              <w:pStyle w:val="TableContents"/>
              <w:bidi w:val="0"/>
              <w:spacing w:before="0" w:after="283"/>
              <w:jc w:val="center"/>
              <w:rPr/>
            </w:pPr>
            <w:hyperlink w:anchor="LEGALMATTERS">
              <w:r>
                <w:rPr>
                  <w:rStyle w:val="InternetLink"/>
                </w:rPr>
                <w:t>28</w:t>
              </w:r>
            </w:hyperlink>
          </w:p>
        </w:tc>
      </w:tr>
      <w:tr>
        <w:trPr/>
        <w:tc>
          <w:tcPr>
            <w:tcW w:w="8840" w:type="dxa"/>
            <w:tcBorders/>
            <w:shd w:fill="CCEEFF" w:val="clear"/>
            <w:vAlign w:val="center"/>
          </w:tcPr>
          <w:p>
            <w:pPr>
              <w:pStyle w:val="TableContents"/>
              <w:bidi w:val="0"/>
              <w:spacing w:before="0" w:after="283"/>
              <w:jc w:val="left"/>
              <w:rPr/>
            </w:pPr>
            <w:hyperlink w:anchor="EXPERTS">
              <w:r>
                <w:rPr>
                  <w:rStyle w:val="InternetLink"/>
                </w:rPr>
                <w:t>EXPERTS</w:t>
              </w:r>
            </w:hyperlink>
          </w:p>
        </w:tc>
        <w:tc>
          <w:tcPr>
            <w:tcW w:w="455" w:type="dxa"/>
            <w:tcBorders/>
            <w:shd w:fill="CCEEFF" w:val="clear"/>
            <w:vAlign w:val="center"/>
          </w:tcPr>
          <w:p>
            <w:pPr>
              <w:pStyle w:val="TableContents"/>
              <w:bidi w:val="0"/>
              <w:spacing w:before="0" w:after="283"/>
              <w:jc w:val="center"/>
              <w:rPr/>
            </w:pPr>
            <w:hyperlink w:anchor="EXPERTS">
              <w:r>
                <w:rPr>
                  <w:rStyle w:val="InternetLink"/>
                </w:rPr>
                <w:t>28</w:t>
              </w:r>
            </w:hyperlink>
          </w:p>
        </w:tc>
      </w:tr>
      <w:tr>
        <w:trPr/>
        <w:tc>
          <w:tcPr>
            <w:tcW w:w="8840" w:type="dxa"/>
            <w:tcBorders/>
            <w:shd w:fill="FFFFFF" w:val="clear"/>
            <w:vAlign w:val="center"/>
          </w:tcPr>
          <w:p>
            <w:pPr>
              <w:pStyle w:val="TableContents"/>
              <w:bidi w:val="0"/>
              <w:spacing w:before="0" w:after="283"/>
              <w:jc w:val="left"/>
              <w:rPr/>
            </w:pPr>
            <w:hyperlink w:anchor="WHEREYOUCANFINDMOREINFORMATION">
              <w:r>
                <w:rPr>
                  <w:rStyle w:val="InternetLink"/>
                </w:rPr>
                <w:t>WHERE YOU CAN FIND MORE INFORMATION</w:t>
              </w:r>
            </w:hyperlink>
          </w:p>
        </w:tc>
        <w:tc>
          <w:tcPr>
            <w:tcW w:w="455" w:type="dxa"/>
            <w:tcBorders/>
            <w:shd w:fill="FFFFFF" w:val="clear"/>
            <w:vAlign w:val="center"/>
          </w:tcPr>
          <w:p>
            <w:pPr>
              <w:pStyle w:val="TableContents"/>
              <w:bidi w:val="0"/>
              <w:spacing w:before="0" w:after="283"/>
              <w:jc w:val="center"/>
              <w:rPr/>
            </w:pPr>
            <w:hyperlink w:anchor="WHEREYOUCANFINDMOREINFORMATION">
              <w:r>
                <w:rPr>
                  <w:rStyle w:val="InternetLink"/>
                </w:rPr>
                <w:t>28</w:t>
              </w:r>
            </w:hyperlink>
          </w:p>
        </w:tc>
      </w:tr>
      <w:tr>
        <w:trPr/>
        <w:tc>
          <w:tcPr>
            <w:tcW w:w="8840" w:type="dxa"/>
            <w:tcBorders/>
            <w:shd w:fill="CCEEFF" w:val="clear"/>
            <w:vAlign w:val="center"/>
          </w:tcPr>
          <w:p>
            <w:pPr>
              <w:pStyle w:val="TableContents"/>
              <w:bidi w:val="0"/>
              <w:spacing w:before="0" w:after="283"/>
              <w:jc w:val="left"/>
              <w:rPr/>
            </w:pPr>
            <w:hyperlink w:anchor="INCORPORATIONOFCERTAININFORMATIONBYREFERENCE">
              <w:r>
                <w:rPr>
                  <w:rStyle w:val="InternetLink"/>
                </w:rPr>
                <w:t>INCORPORATION OF CERTAIN INFORMATION BY REFERENCE</w:t>
              </w:r>
            </w:hyperlink>
          </w:p>
        </w:tc>
        <w:tc>
          <w:tcPr>
            <w:tcW w:w="455" w:type="dxa"/>
            <w:tcBorders/>
            <w:shd w:fill="CCEEFF" w:val="clear"/>
            <w:vAlign w:val="center"/>
          </w:tcPr>
          <w:p>
            <w:pPr>
              <w:pStyle w:val="TableContents"/>
              <w:bidi w:val="0"/>
              <w:spacing w:before="0" w:after="283"/>
              <w:jc w:val="center"/>
              <w:rPr/>
            </w:pPr>
            <w:hyperlink w:anchor="INCORPORATIONOFCERTAININFORMATIONBYREFERENCE">
              <w:r>
                <w:rPr>
                  <w:rStyle w:val="InternetLink"/>
                </w:rPr>
                <w:t>29</w:t>
              </w:r>
            </w:hyperlink>
          </w:p>
        </w:tc>
      </w:tr>
    </w:tbl>
    <w:p>
      <w:pPr>
        <w:pStyle w:val="TextBody"/>
        <w:bidi w:val="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left"/>
              <w:rPr/>
            </w:pPr>
            <w:r>
              <w:rPr/>
              <w:t>i</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jc w:val="center"/>
        <w:rPr>
          <w:rFonts w:ascii="Times New Roman;Times;Serif" w:hAnsi="Times New Roman;Times;Serif"/>
          <w:b/>
          <w:i w:val="false"/>
          <w:caps w:val="false"/>
          <w:smallCaps w:val="false"/>
          <w:sz w:val="20"/>
        </w:rPr>
      </w:pPr>
      <w:bookmarkStart w:id="5" w:name="ABOUTTHISPROSPECTUS"/>
      <w:bookmarkEnd w:id="5"/>
      <w:r>
        <w:rPr>
          <w:rFonts w:ascii="Times New Roman;Times;Serif" w:hAnsi="Times New Roman;Times;Serif"/>
          <w:b/>
          <w:i w:val="false"/>
          <w:caps w:val="false"/>
          <w:smallCaps w:val="false"/>
          <w:sz w:val="20"/>
        </w:rPr>
        <w:t xml:space="preserve">ABOUT THIS </w:t>
      </w:r>
      <w:r>
        <w:rPr>
          <w:rFonts w:ascii="Times New Roman;Times;Serif" w:hAnsi="Times New Roman;Times;Serif"/>
          <w:b/>
          <w:i w:val="false"/>
          <w:caps w:val="false"/>
          <w:smallCaps w:val="false"/>
          <w:spacing w:val="-2"/>
          <w:sz w:val="20"/>
        </w:rPr>
        <w:t>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(the “SEC”) under the Securities Act of 1933, as amended (the “Securities Act”), using a “shelf” registration process. Under the shelf registration process, we may from time to time, offer and sell to the public any or all of the securities described in this prospectus in one or more offerings for an aggregate offering amount of up to $200,000,000. Before purchasing any securities, you should read this prospectus and any applicable prospectus supplement together with the additional information described under the headings “Where You Can Find More Information” and “Incorporation of Certain Information by Reference.”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only provides you with a general description of the securities we may offer. Each time we sell a type or series of securities under this prospectus, we will provide a prospectus supplement that will contain more specific information about the terms of the offering, including the specific amounts, prices and terms of the securities offered. We may also authorize one or more free writing prospectuses to be provided to you that may contain material information relating to these offerings. This prospectus may not be used to sell our securities unless accompanied by a prospectus supplement. Each such prospectus supplement and any free writing prospectus that we may authorize to be provided to you may also add, update or change information contained in this prospectus or in documents incorporated by reference into this prospectus. If this prospectus is inconsistent with the prospectus supplement or free writing prospectus, you should rely upon the prospectus supplement or free writing prospectus.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except as otherwise indicated, the words “Greenidge” or the “Registrant” refer to Greenidge Generation Holdings Inc. and the words “company,” “we,” “us” and “our” refer to Greenidge, together with its consolidated subsidiaries. In this prospectus, references to “securities” collectively means our Class A common stock, preferred stock, warrants, debt securities or any combination of the foregoing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or incorporated by reference in this prospectus. Neither we nor any underwriters have authorized any person to provide you with information that differs from what is contained or incorporated by reference in this prospectus. If any person does provide you with information that differs from what is contained or incorporated by reference in this prospectus, you should not rely on it. This prospectus is not an offer to sell or the solicitation of an offer to buy any securities other than the securities to which it relates, or an offer or solicitation in any jurisdiction where offers or sales are not permitted. The information contained in this prospectus is accurate only as of the date of this prospectus, even though this prospectus may be delivered or shares may be sold under this prospectus on a later date. Our business, financial condition, results of operation and prospects may have changed since those dates. </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ii</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jc w:val="center"/>
        <w:rPr>
          <w:rFonts w:ascii="Times New Roman;Times;Serif" w:hAnsi="Times New Roman;Times;Serif"/>
          <w:b/>
          <w:i w:val="false"/>
          <w:caps w:val="false"/>
          <w:smallCaps w:val="false"/>
          <w:sz w:val="20"/>
        </w:rPr>
      </w:pPr>
      <w:bookmarkStart w:id="6" w:name="ABOUTTHECOMPANY"/>
      <w:bookmarkEnd w:id="6"/>
      <w:r>
        <w:rPr>
          <w:rFonts w:ascii="Times New Roman;Times;Serif" w:hAnsi="Times New Roman;Times;Serif"/>
          <w:b/>
          <w:i w:val="false"/>
          <w:caps w:val="false"/>
          <w:smallCaps w:val="false"/>
          <w:sz w:val="20"/>
        </w:rPr>
        <w:t xml:space="preserve">ABOUT THE </w:t>
      </w:r>
      <w:r>
        <w:rPr>
          <w:rFonts w:ascii="Times New Roman;Times;Serif" w:hAnsi="Times New Roman;Times;Serif"/>
          <w:b/>
          <w:i w:val="false"/>
          <w:caps w:val="false"/>
          <w:smallCaps w:val="false"/>
          <w:spacing w:val="-2"/>
          <w:sz w:val="20"/>
        </w:rPr>
        <w:t>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Company </w:t>
      </w:r>
      <w:r>
        <w:rPr>
          <w:rFonts w:ascii="Times New Roman;Times;Serif" w:hAnsi="Times New Roman;Times;Serif"/>
          <w:b/>
          <w:i w:val="false"/>
          <w:caps w:val="false"/>
          <w:smallCaps w:val="false"/>
          <w:spacing w:val="-2"/>
          <w:sz w:val="20"/>
        </w:rPr>
        <w:t>Overview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developer and operator of datacenters and powered assets designed to support energy-intensive computing workloads. We currently build, maintain and operate datacenters focused on bitcoin mining, along with related power and electric infrastructure. We are increasingly focused on leveraging our power generation assets, grid interconnection rights and datacenter development expertise to support artificial intelligence (“AI”) and high-performance computing (“HPC”) workloads, which we believe represent a significant long-term growth </w:t>
      </w:r>
      <w:r>
        <w:rPr>
          <w:rFonts w:ascii="Times New Roman;Times;Serif" w:hAnsi="Times New Roman;Times;Serif"/>
          <w:b w:val="false"/>
          <w:i w:val="false"/>
          <w:caps w:val="false"/>
          <w:smallCaps w:val="false"/>
          <w:spacing w:val="-2"/>
          <w:sz w:val="20"/>
        </w:rPr>
        <w:t>opportunity.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(1) datacenter hosting, (2) cryptocurrency self-mining and (3) power and capacity sales. Our business model is centered on vertical integration, combining datacenter development and operations with owned or controlled power generation assets and grid interconnection rights. This integrated model enables us to dynamically optimize between computing workloads and power sales depending on prevailing market conditions, including cryptocurrency prices, network difficulty and wholesale electricity prices.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and operate a vertically integrated cryptocurrency datacenter and power generation facility in Torrey, New York (the “New York Facility”), which includes a natural gas power generation plant with approximately 106 megawatt (“MW”) of nameplate capacity. We also own a 34-acre greenfield site in Columbus, Mississippi, which we expect will provide access to 40 MW of datacenter capacity by the first quarter of 2027. Additionally, we have 7.5 MW of datacenter capacity in North Dakota (the “North Dakota Facility”) through a five-year lease, which provides us with energy access to support our cryptocurrency mining operations.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datacenter operations consisted of approximately 23,500 application-specific integrated circuit computers (“ASICs” or “miners”), representing a combined capacity of approximately 2.7 exahash per second (“EH/s”), including 17,000 miners, or 1.7 EH/s, associated with our datacenter hosting and 6,500 miners, or 1 EH/s, associated with our cryptocurrency self-mining.</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Products and </w:t>
      </w:r>
      <w:r>
        <w:rPr>
          <w:rFonts w:ascii="Times New Roman;Times;Serif" w:hAnsi="Times New Roman;Times;Serif"/>
          <w:b/>
          <w:i w:val="false"/>
          <w:caps w:val="false"/>
          <w:smallCaps w:val="false"/>
          <w:spacing w:val="-2"/>
          <w:sz w:val="20"/>
        </w:rPr>
        <w:t>Services</w:t>
      </w:r>
    </w:p>
    <w:p>
      <w:pPr>
        <w:pStyle w:val="TextBody"/>
        <w:bidi w:val="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Datacenter </w:t>
      </w:r>
      <w:r>
        <w:rPr>
          <w:rFonts w:ascii="Times New Roman;Times;Serif" w:hAnsi="Times New Roman;Times;Serif"/>
          <w:b/>
          <w:i/>
          <w:caps w:val="false"/>
          <w:smallCaps w:val="false"/>
          <w:spacing w:val="-2"/>
          <w:sz w:val="20"/>
        </w:rPr>
        <w:t>Hosting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datacenter hosting services to third-party customers, which include the provision of power, physical infrastructure, monitoring, maintenance and technical support for customer-owned mining equipment. These services are designed to enable customers to deploy and operate mining hardware without directly managing the underlying infrastructure or power procurement.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2023, we entered into hosting services agreements and related orders (collectively as in effect from time to time, the “NYDIG Hosting Agreement”) with affiliates of NYDIG ABL LLC (“NYDIG”), pursuant to which we host, power and provide technical support services, and other related services, to NYDIG affiliates’ mining equipment at the New York Facility for a term of five years. Under the NYDIG Hosting Agreement, NYDIG is required to pay fees intended to reimburse the cost of power and certain direct operating costs associated with the management of the mining facilities, together with a hosting fee and a gross profit- sharing component. The NYDIG Hosting Agreement also includes provisions requiring NYDIG to provide an upfront security deposit, pay configuration fees associated with the installation or relocation of mining equipment, and reimburse us for certain maintenance and repair costs outside of routine operations. In addition, the agreement contains provisions governing the allocation of revenues associated with power sales and capacity participation, including circumstances in which mining operations are curtailed due to market conditions. In such cases, we may be required to share a portion of energy-related revenues or compensate NYDIG based on the expected value of foregone mining activity, subject to the terms of the agreement. We believe this contractual structure provides a degree of revenue stability through cost recovery while also allowing us to participate in upside opportunities associated with favorable cryptocurrency and energy market conditions. </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1</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jc w:val="left"/>
        <w:rPr>
          <w:rFonts w:ascii="Times New Roman;Times;Serif" w:hAnsi="Times New Roman;Times;Serif"/>
          <w:b/>
          <w:i/>
          <w:caps w:val="false"/>
          <w:smallCaps w:val="false"/>
          <w:spacing w:val="-2"/>
          <w:sz w:val="20"/>
        </w:rPr>
      </w:pPr>
      <w:r>
        <w:rPr>
          <w:rFonts w:ascii="Times New Roman;Times;Serif" w:hAnsi="Times New Roman;Times;Serif"/>
          <w:b/>
          <w:i/>
          <w:caps w:val="false"/>
          <w:smallCaps w:val="false"/>
          <w:spacing w:val="-2"/>
          <w:sz w:val="20"/>
        </w:rPr>
        <w:t>Cryptocurrency Self-Mining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hosting operations, we operate company-owned and leased ASIC miners to support the validation of transactions on the bitcoin network. In return for providing computational power, we earn bitcoin in the form of block rewards and transaction fees.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participate in third-party mining pools, which aggregate the hashrate of multiple participants and distribute mining rewards on a pro rata basis according to each participant’s contribution, less applicable pool fees. Mining pools designed to reduce variability in mining rewards relative to solo mining by providing more consistent, periodic distributions.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participation in mining pools is generally terminable at any time, which provides us with flexibility to change pools or adjust our mining strategy in response to market conditions. The mining pools in which we currently participate distribute earned bitcoin to us on a daily </w:t>
      </w:r>
      <w:r>
        <w:rPr>
          <w:rFonts w:ascii="Times New Roman;Times;Serif" w:hAnsi="Times New Roman;Times;Serif"/>
          <w:b w:val="false"/>
          <w:i w:val="false"/>
          <w:caps w:val="false"/>
          <w:smallCaps w:val="false"/>
          <w:spacing w:val="-2"/>
          <w:sz w:val="20"/>
        </w:rPr>
        <w:t>basis.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pacing w:val="-2"/>
          <w:sz w:val="20"/>
        </w:rPr>
      </w:pPr>
      <w:r>
        <w:rPr>
          <w:rFonts w:ascii="Times New Roman;Times;Serif" w:hAnsi="Times New Roman;Times;Serif"/>
          <w:b/>
          <w:i/>
          <w:caps w:val="false"/>
          <w:smallCaps w:val="false"/>
          <w:spacing w:val="-2"/>
          <w:sz w:val="20"/>
        </w:rPr>
        <w:t>Power and Capacity Sales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and operate a 106 MW power generation facility at the New York Facility that is interconnected with the New York Independent Systems Operator (the “NYISO”), the operator of New York State’s power grid. Through this interconnection, we sell electricity, capacity and ancillary services into the wholesale power market. Our power-related revenues are derived from three primary sources:</w:t>
      </w:r>
    </w:p>
    <w:p>
      <w:pPr>
        <w:pStyle w:val="TextBody"/>
        <w:bidi w:val="0"/>
        <w:spacing w:before="1" w:after="1"/>
        <w:ind w:left="1" w:right="1"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Energy revenue</w:t>
            </w:r>
            <w:r>
              <w:rPr/>
              <w:t xml:space="preserve">: When dispatched by the NYISO, we receive energy revenue based on the hourly price of </w:t>
            </w:r>
            <w:r>
              <w:rPr>
                <w:spacing w:val="-2"/>
              </w:rPr>
              <w:t>power.</w:t>
            </w:r>
          </w:p>
        </w:tc>
      </w:tr>
    </w:tbl>
    <w:p>
      <w:pPr>
        <w:pStyle w:val="TextBody"/>
        <w:bidi w:val="0"/>
        <w:spacing w:before="1" w:after="1"/>
        <w:ind w:left="1440" w:right="1"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Capacity revenue</w:t>
            </w:r>
            <w:r>
              <w:rPr/>
              <w:t xml:space="preserve">: We receive capacity revenue for committing to sell power to the NYISO when </w:t>
            </w:r>
            <w:r>
              <w:rPr>
                <w:spacing w:val="-2"/>
              </w:rPr>
              <w:t>dispatched.</w:t>
            </w:r>
          </w:p>
        </w:tc>
      </w:tr>
    </w:tbl>
    <w:p>
      <w:pPr>
        <w:pStyle w:val="TextBody"/>
        <w:bidi w:val="0"/>
        <w:spacing w:before="1" w:after="1"/>
        <w:ind w:left="1440" w:right="1"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Ancillary services revenue</w:t>
            </w:r>
            <w:r>
              <w:rPr/>
              <w:t xml:space="preserve">: When selected by the NYISO, we receive compensation for the provision of operating </w:t>
            </w:r>
            <w:r>
              <w:rPr>
                <w:spacing w:val="-2"/>
              </w:rPr>
              <w:t>reserves.</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continuously operate our power generation facility and dynamically adjust the allocation of generated electricity between internal consumption (for hosting and self-mining operations) and external sales into the wholesale market. Depending on prevailing electricity prices and demand conditions, we may curtail some or all of our cryptocurrency operations in order to sell power into the grid when such sales are economically advantageous.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datacenter operations in New York are powered by electricity generated directly at our facility, which is referred to as “behind-the- meter” power. This configuration reduces our exposure to transmission and distribution charges and mitigates reliance on third-party power purchase agreements. As of March 31, 2026, our owned and customer-hosted miners at the New York Facility had the capacity to consume approximately 60 MW of electricity, and we have approval from NYISO to utilize up to 64 MW of electricity on a behind-the-meter basis.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a contract with Empire Pipeline Inc., which provides for the firm transportation to our pipeline of up to 15,000 dekatherms of natural gas per day. The natural gas is transported to our captive lateral pipeline, which transports this gas approximately 4.6 miles to our power plant. We also have contracts with Emera Energy covering both the purchase of natural gas and the bidding and sale of electricity through the NYISO.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generated from power and capacity sales is variable and is influenced by a number of factors, including supply and demand dynamics in the electricity market, available generation capacity and natural gas prices. For the three months ended March 31, 2026 and the year ended December 31, 2025, our power and capacity sales accounted for approximately 90% and 38% of our total revenue, respectively.</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Competitive Advantages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is the largest input cost for most energy-intensive computing operations, including cryptocurrency mining and certain AI and HPC workloads. We believe owning and operating a power generation facility provides us with a competitive advantage in developing and operating energy-intensive datacenter infrastructure. </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our business benefits from the following additional competitive </w:t>
      </w:r>
      <w:r>
        <w:rPr>
          <w:rFonts w:ascii="Times New Roman;Times;Serif" w:hAnsi="Times New Roman;Times;Serif"/>
          <w:b w:val="false"/>
          <w:i w:val="false"/>
          <w:caps w:val="false"/>
          <w:smallCaps w:val="false"/>
          <w:spacing w:val="-2"/>
          <w:sz w:val="20"/>
        </w:rPr>
        <w:t>advantages: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Vertical integration</w:t>
            </w:r>
            <w:r>
              <w:rPr/>
              <w:t>. We believe there are relatively few other public companies in the United States with cryptocurrency datacenter operations of scale in the United States currently using power generated from their own power plants.</w:t>
            </w:r>
          </w:p>
        </w:tc>
      </w:tr>
    </w:tbl>
    <w:p>
      <w:pPr>
        <w:pStyle w:val="TextBody"/>
        <w:bidi w:val="0"/>
        <w:spacing w:before="16" w:after="16"/>
        <w:ind w:left="1440" w:right="16"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Hosting arrangements</w:t>
            </w:r>
            <w:r>
              <w:rPr/>
              <w:t xml:space="preserve">. The terms of the NYDIG Hosting Agreement require NYDIG to pay fees intended to </w:t>
            </w:r>
            <w:r>
              <w:rPr>
                <w:b/>
              </w:rPr>
              <w:t>cover</w:t>
            </w:r>
            <w:r>
              <w:rPr/>
              <w:t xml:space="preserve"> the cost of power and certain direct operating costs associated with managing the mining facilities, together with a hosting fee and a gross profit-sharing arrangement, provided that the hosted miners are profitable.</w:t>
            </w:r>
          </w:p>
        </w:tc>
      </w:tr>
    </w:tbl>
    <w:p>
      <w:pPr>
        <w:pStyle w:val="TextBody"/>
        <w:bidi w:val="0"/>
        <w:spacing w:before="16" w:after="16"/>
        <w:ind w:left="1440" w:right="16"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Low power costs</w:t>
            </w:r>
            <w:r>
              <w:rPr/>
              <w:t xml:space="preserve">. Through access to the Millennium Pipeline price hub that provides relatively low market rates for </w:t>
            </w:r>
            <w:r>
              <w:rPr>
                <w:b/>
              </w:rPr>
              <w:t>natural</w:t>
            </w:r>
            <w:r>
              <w:rPr/>
              <w:t xml:space="preserve"> gas and the relatively cool climate where our power plant is located, we are able to produce our energy at competitive rates and largely avoid the extra cost of active cooling of our datacenter operations. Our hosting arrangements also reduce our exposure to increases in natural gas prices.</w:t>
            </w:r>
          </w:p>
        </w:tc>
      </w:tr>
    </w:tbl>
    <w:p>
      <w:pPr>
        <w:pStyle w:val="TextBody"/>
        <w:bidi w:val="0"/>
        <w:spacing w:before="15" w:after="15"/>
        <w:ind w:left="1440" w:right="15"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Power market upside</w:t>
            </w:r>
            <w:r>
              <w:rPr/>
              <w:t>. Because our power generation facility operates continuously, we are able to optimize between hosting, power and cryptocurrency datacenter revenue depending on prevailing market conditions, which may enhance revenue opportunities and operational flexibility.</w:t>
            </w:r>
          </w:p>
        </w:tc>
      </w:tr>
    </w:tbl>
    <w:p>
      <w:pPr>
        <w:pStyle w:val="TextBody"/>
        <w:bidi w:val="0"/>
        <w:spacing w:before="17" w:after="17"/>
        <w:ind w:left="1440" w:right="17"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Behind-the-meter power supply</w:t>
            </w:r>
            <w:r>
              <w:rPr/>
              <w:t xml:space="preserve">. All of the power that we use in our New York datacenter operations is currently </w:t>
            </w:r>
            <w:r>
              <w:rPr>
                <w:b/>
              </w:rPr>
              <w:t>generated</w:t>
            </w:r>
            <w:r>
              <w:rPr/>
              <w:t xml:space="preserve"> behind-the-meter, reducing reliance on third-party power purchase agreements that could otherwise be modified, terminated or subject to changing market conditions.</w:t>
            </w:r>
          </w:p>
        </w:tc>
      </w:tr>
    </w:tbl>
    <w:p>
      <w:pPr>
        <w:pStyle w:val="TextBody"/>
        <w:bidi w:val="0"/>
        <w:spacing w:before="16" w:after="16"/>
        <w:ind w:left="1440" w:right="16"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Digital infrastructure operations experience</w:t>
            </w:r>
            <w:r>
              <w:rPr/>
              <w:t>. We have operated cryptocurrency datacenters for several years and have developed in-house engineering and operational expertise to design, build and operate energy-</w:t>
            </w:r>
            <w:r>
              <w:rPr>
                <w:b/>
              </w:rPr>
              <w:t>intensive</w:t>
            </w:r>
            <w:r>
              <w:rPr/>
              <w:t xml:space="preserve"> computing facilities. We believe this experience may be applicable to both cryptocurrency mining and emerging AI and HPC datacenter workloads.</w:t>
            </w:r>
          </w:p>
        </w:tc>
      </w:tr>
    </w:tbl>
    <w:p>
      <w:pPr>
        <w:pStyle w:val="TextBody"/>
        <w:bidi w:val="0"/>
        <w:spacing w:before="16" w:after="16"/>
        <w:ind w:left="1440" w:right="16"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Institutional backing</w:t>
            </w:r>
            <w:r>
              <w:rPr/>
              <w:t>. Our controlling stockholder, Atlas Capital Resources L.P. (“Atlas”) and its affiliates, own and operate 30 companies which generate $26 billion in revenues annually and have experience owning and operating more than 2,000 MW of power generation assets.</w:t>
            </w:r>
          </w:p>
        </w:tc>
      </w:tr>
    </w:tbl>
    <w:p>
      <w:pPr>
        <w:pStyle w:val="TextBody"/>
        <w:bidi w:val="0"/>
        <w:spacing w:before="16" w:after="16"/>
        <w:ind w:left="1440" w:right="16" w:hanging="720"/>
        <w:jc w:val="both"/>
        <w:rPr>
          <w:caps w:val="false"/>
          <w:smallCaps w:val="false"/>
        </w:rPr>
      </w:pPr>
      <w:r>
        <w:rPr>
          <w:caps w:val="false"/>
          <w:smallCaps w:val="false"/>
        </w:rPr>
        <w:t> </w:t>
      </w:r>
    </w:p>
    <w:p>
      <w:pPr>
        <w:pStyle w:val="TextBody"/>
        <w:bidi w:val="0"/>
        <w:spacing w:before="1" w:after="1"/>
        <w:ind w:left="1" w:right="1"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Intellectual Property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specific hardware and software for our existing and planned bitcoin mining related operations. In certain cases, source code and other software assets may be subject to an open-source license, as much of the technology development underway in this sector is open source. For such assets, we intend to comply with the terms of all applicable license agreements.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patents in connection with our existing and planned bitcoin mining-related operations. In the future we may pursue patents in connection with our Pod X portable bitcoin mining infrastructure solution or other initiatives, but do not have immediate plans to do so. We expect to rely primarily on trade secrets, trademarks, service marks, trade names, copyrights and other intellectual property rights and expect to license the use of intellectual property rights owned and controlled by others. In addition, we have developed and may further develop certain proprietary software applications for purposes of our bitcoin mining- related operations. </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60" w:right="6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Implications of Being an Emerging Growth Company and Smaller Reporting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under the Jumpstart Our Business Startups Act of 2012 (the “JOBS Act”). As a result, we are permitted to, and intend to, rely on exemptions from certain disclosure requirements. For so long as we are an emerging growth company, we will not be required to:</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have an auditor report on our internal controls over financial reporting pursuant to Section 404(b) of the Sarbanes-Oxley </w:t>
            </w:r>
            <w:r>
              <w:rPr>
                <w:spacing w:val="-4"/>
              </w:rPr>
              <w:t>Act;</w:t>
            </w:r>
          </w:p>
        </w:tc>
      </w:tr>
    </w:tbl>
    <w:p>
      <w:pPr>
        <w:pStyle w:val="TextBody"/>
        <w:bidi w:val="0"/>
        <w:spacing w:before="16" w:after="16"/>
        <w:ind w:left="1440" w:right="16"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tc>
      </w:tr>
    </w:tbl>
    <w:p>
      <w:pPr>
        <w:pStyle w:val="TextBody"/>
        <w:bidi w:val="0"/>
        <w:spacing w:before="4" w:after="4"/>
        <w:ind w:left="1440" w:right="4"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submit certain executive compensation matters to stockholder advisory votes, such as “say-on-pay,” “say-on- frequency” and pay ratio; and</w:t>
            </w:r>
          </w:p>
        </w:tc>
      </w:tr>
    </w:tbl>
    <w:p>
      <w:pPr>
        <w:pStyle w:val="TextBody"/>
        <w:bidi w:val="0"/>
        <w:spacing w:before="6" w:after="6"/>
        <w:ind w:left="1440" w:right="6"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disclose certain executive compensation related items such as the correlation between executive compensation and performance and comparisons of the CEO’s compensation to median employee compensation.</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for up to five years from our first sale of common stock pursuant to an effective Securities Act registration statement in 2021 (or September 15, 2026), or until the earliest of (i) the last day of the first fiscal year in which our total annual gross revenues exceed $1.235 billion, (ii) the date that we become a “large accelerated filer” as defined in Rule 12b-2 under the Securities Exchange Act of 1934, as amended (the “Exchange Act”), which would occur if the market value of our Class A common stock held by non-affiliates exceeds $700 million as of the last business day of our most recently completed second fiscal quarter, or (iii) the date on which we have issued more than $1 billion in non-convertible debt during the preceding three- year period.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under the Exchange Act and have elected to take advantage of certain of the scaled disclosures available to smaller reporting companies. To the extent that we continue to qualify as a “smaller reporting company” as such term is defined in Rule 12b-2 under the Exchange Act, after we cease to qualify as an emerging growth company, certain of the exemptions available to us as an “emerging growth company” may continue to be available to us, including exemption from compliance with the auditor attestation requirements pursuant to the Sarbanes-Oxley Act and reduced disclosure about our executive compensation arrangements. We will continue to be a “smaller reporting company” until we have $250 million or more in public float (based on our Class A common stock) measured as of the last business day of our most recently completed second fiscal quarter or, in the event we have no public float (based on our Class A common stock) or a public float (based on our Class A common stock) that is less than $700 million, annual revenues of $100 million or more during the most recently completed fiscal year.</w:t>
      </w:r>
    </w:p>
    <w:p>
      <w:pPr>
        <w:pStyle w:val="TextBody"/>
        <w:bidi w:val="0"/>
        <w:spacing w:before="217" w:after="217"/>
        <w:ind w:left="217" w:right="217"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Controlled Company Exemption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Atlas and its affiliates control approximately 66.2% of the voting power of our outstanding capital stock and have the power to elect a majority of our directors. Pursuant to Nasdaq listing standards, a company of which more than 50% of the voting power for the election of directors is held by an individual, a group or another company qualifies as a “controlled company.” As a controlled company, we are exempt from certain Nasdaq corporate governance requirements, including the requirements to have (i) a board comprised of a majority of independent directors; (ii) compensation of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If we cease to be a “controlled company” and our shares continue to be listed on Nasdaq, we will be required to comply with these standards and, depending on the independence-determination with respect to our then-current directors, we may be required to add additional directors to our board in order to achieve such compliance within the applicable transition periods. </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60" w:right="6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Corporate 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1159 Pittsford-Victor Road, Suite 240, Pittsford, New York 14534, and our telephone number is (315) 536-2359. Our website is located at www.greenidge.com. Our goal is to maintain our website as a portal through which investors can access pertinent information about us, including our annual reports on Form 10-K, quarterly reports on Form 10-Q, current reports on Form 8-K, proxy statements, and any other reports, after we file them with the SEC. The public may obtain a copy of our filings, free of charge, through our corporate internet website as soon as reasonably practicable after we have electronically filed such material with, or furnished it to, the SEC. Information contained on, or accessible through, our website is not a part of, and is not incorporated by reference into, this prospectus or any accompanying prospectus supplement. </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z w:val="20"/>
        </w:rPr>
      </w:pPr>
      <w:bookmarkStart w:id="7" w:name="RISKFACTORS"/>
      <w:bookmarkEnd w:id="7"/>
      <w:r>
        <w:rPr>
          <w:rFonts w:ascii="Times New Roman;Times;Serif" w:hAnsi="Times New Roman;Times;Serif"/>
          <w:b/>
          <w:i w:val="false"/>
          <w:caps w:val="false"/>
          <w:smallCaps w:val="false"/>
          <w:sz w:val="20"/>
        </w:rPr>
        <w:t xml:space="preserve">RISK </w:t>
      </w:r>
      <w:r>
        <w:rPr>
          <w:rFonts w:ascii="Times New Roman;Times;Serif" w:hAnsi="Times New Roman;Times;Serif"/>
          <w:b/>
          <w:i w:val="false"/>
          <w:caps w:val="false"/>
          <w:smallCaps w:val="false"/>
          <w:spacing w:val="-2"/>
          <w:sz w:val="20"/>
        </w:rPr>
        <w:t>FACTORS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 decision to invest in our securities, you should carefully consider the risks described under the heading “Risk Factors” in the applicable prospectus supplement and any related free writing prospectus, and under similar headings in our most recent annual report on Form 10-K, and in subsequent quarterly reports on Form 10-Q filed subsequent to such Form 10-K, as well as any amendments thereto, which are incorporated by reference into this prospectus and the applicable prospectus supplement in their entirety, together with other information in this prospectus and the applicable prospectus supplement, the documents incorporated by reference herein and therein, and any free writing prospectus that we may authorize for use in connection with a specific offering. See “Where You Can Find More Information.” </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pacing w:val="-4"/>
          <w:sz w:val="20"/>
        </w:rPr>
      </w:pPr>
      <w:bookmarkStart w:id="8" w:name="CAUTIONARYSTATEMENTREGARDINGFORWARDLOOKI"/>
      <w:bookmarkEnd w:id="8"/>
      <w:r>
        <w:rPr>
          <w:rFonts w:ascii="Times New Roman;Times;Serif" w:hAnsi="Times New Roman;Times;Serif"/>
          <w:b/>
          <w:i w:val="false"/>
          <w:caps w:val="false"/>
          <w:smallCaps w:val="false"/>
          <w:spacing w:val="-4"/>
          <w:sz w:val="20"/>
        </w:rPr>
        <w:t>CAUTIONARY STATEMENT REGARDING FORWARD-LOOKING STATEMENTS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prospectus supplement and any related free writing prospectus, including the information incorporated by reference herein and therein, contain forward-looking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or the negative of these words or other comparable terminology. Accordingly, these statements involve estimates, assumptions and uncertainties which could cause actual results to differ materially from those expressed in them.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Our actual future results may be materially different from what we expect. We qualify all of the forward-looking statements contained in this prospectus, in the documents incorporated by reference herein and in any prospectus supplement by these cautionary statements. These forward-looking statements speak only as of the date on which the statements were made and are not guarantees of future performance. Although we undertake no obligation to revise or update any forward-looking statements (except as required by U.S. federal securities laws), whether as a result of new information, future events or otherwise, you are advised to review any additional disclosures we make in the documents we subsequently file with the SEC that are incorporated by reference in this prospectus and any prospectus supplement. See “Where You Can Find More Information.” </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z w:val="20"/>
        </w:rPr>
      </w:pPr>
      <w:bookmarkStart w:id="9" w:name="USEOFPROCEEDS"/>
      <w:bookmarkEnd w:id="9"/>
      <w:r>
        <w:rPr>
          <w:rFonts w:ascii="Times New Roman;Times;Serif" w:hAnsi="Times New Roman;Times;Serif"/>
          <w:b/>
          <w:i w:val="false"/>
          <w:caps w:val="false"/>
          <w:smallCaps w:val="false"/>
          <w:sz w:val="20"/>
        </w:rPr>
        <w:t xml:space="preserve">USE OF </w:t>
      </w:r>
      <w:r>
        <w:rPr>
          <w:rFonts w:ascii="Times New Roman;Times;Serif" w:hAnsi="Times New Roman;Times;Serif"/>
          <w:b/>
          <w:i w:val="false"/>
          <w:caps w:val="false"/>
          <w:smallCaps w:val="false"/>
          <w:spacing w:val="-2"/>
          <w:sz w:val="20"/>
        </w:rPr>
        <w:t>PROCEEDS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 sale of securities offered by this prospectus and any applicable prospectus supplement for general corporate purposes, which may include, among other things, the repayment or refinancing of existing indebtedness, as well as funding acquisitions, capital expenditures and working capital. Until we apply the proceeds from a sale of securities to their intended purposes, we may invest those proceeds in short-term, interest-bearing, investment-grade, securities or hold as cash. </w:t>
      </w:r>
    </w:p>
    <w:p>
      <w:pPr>
        <w:pStyle w:val="TextBody"/>
        <w:bidi w:val="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pacing w:val="-2"/>
          <w:sz w:val="20"/>
        </w:rPr>
      </w:pPr>
      <w:bookmarkStart w:id="10" w:name="DESCRIPTIONOFOURCAPITALSTOCK"/>
      <w:bookmarkEnd w:id="10"/>
      <w:r>
        <w:rPr>
          <w:rFonts w:ascii="Times New Roman;Times;Serif" w:hAnsi="Times New Roman;Times;Serif"/>
          <w:b/>
          <w:i w:val="false"/>
          <w:caps w:val="false"/>
          <w:smallCaps w:val="false"/>
          <w:spacing w:val="-2"/>
          <w:sz w:val="20"/>
        </w:rPr>
        <w:t>DESCRIPTION OF OUR CAPITAL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w:t>
      </w:r>
      <w:r>
        <w:rPr>
          <w:rFonts w:ascii="Times New Roman;Times;Serif" w:hAnsi="Times New Roman;Times;Serif"/>
          <w:b w:val="false"/>
          <w:i w:val="false"/>
          <w:caps w:val="false"/>
          <w:smallCaps w:val="false"/>
          <w:sz w:val="20"/>
        </w:rPr>
        <w:t xml:space="preserve">following </w:t>
      </w:r>
      <w:r>
        <w:rPr>
          <w:rFonts w:ascii="Times New Roman;Times;Serif" w:hAnsi="Times New Roman;Times;Serif"/>
          <w:b w:val="false"/>
          <w:i/>
          <w:caps w:val="false"/>
          <w:smallCaps w:val="false"/>
          <w:sz w:val="20"/>
        </w:rPr>
        <w:t>summary of the material terms of our capital stock is not intended to be a complete summary of the rights and preferences of such capital stock, and is qualified by reference to our second amended and restated certificate of incorporation, as amended (“certificate of incorporation”), and our amended and restated bylaws, as amended (“bylaws”), which are exhibits to the registration statement of which this prospectus is a part. We urge you to read each of our certificate of incorporation and our bylaws in their entirety for a complete description of the rights and preferences of our capital stock.</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General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400,000,000 shares of Class A common stock, par value $0.0001 per share, 100,000,000 shares of Class B common stock, par value $0.0001 per share, and 20,000,000 shares of preferred stock, par value $0.0001 per share.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authorized shares of our common or preferred stock may be increased or decreased by the affirmative vote of the holders of shares of our capital stock representing a majority of the votes represented by all outstanding shares of such capital stock entitled to vote on such matter, irrespective of the provisions of Section 242(b)(2) of General Corporation Law of the State of Delaware (the “DGCL”), in addition to any vote of the holders of one or more series of our preferred stock that may be required by the terms of such preferred stock. However, the number of authorized shares of common or preferred stock may not be decreased below the number of shares thereof then outstanding or, in the case of Class A common stock, the number of such shares reserved for issuance upon conversion into shares of Class A common stock of the then-outstanding shares of Class B common stock.</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common stock currently outstanding are duly authorized, fully paid and non-assessable. Shares of Class B common stock that have been acquired by us, whether by repurchase, upon conversion or otherwise, are retired and not issuable again as shares of Class B common stock. Below is a summary of the rights of the common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The holders of Class A common stock are entitled to one vote per share, and the holders of Class B common stock are entitled to 10 votes per share at all stockholder meetings and on all matters submitted to our stockholders generally. The holders of Class A common stock and Class B common stock vote together as a single class, unless specifically provided in our certificate of incorporation or otherwise required by law. The DGCL could require holders of Class A common stock or Class B common stock, as the case may be, to vote separately as a single class if we were to seek to amend our certificate of incorporation either (i) to increase or decrease the par value of a class of stock, or (ii) in a manner that alters or changes the powers, preferences or special rights of a class of stock in a manner that affected its holders adversely.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and Class B common stock are not allowed to vote on any amendment of our certificate of incorporation that relates only to the terms of a series of outstanding preferred stock for which the holders of such affected preferred stock have the right to vote under our certificate of incorporation or the DGCL.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do not have the ability to cumulate votes for the election of </w:t>
      </w:r>
      <w:r>
        <w:rPr>
          <w:rFonts w:ascii="Times New Roman;Times;Serif" w:hAnsi="Times New Roman;Times;Serif"/>
          <w:b w:val="false"/>
          <w:i w:val="false"/>
          <w:caps w:val="false"/>
          <w:smallCaps w:val="false"/>
          <w:spacing w:val="-2"/>
          <w:sz w:val="20"/>
        </w:rPr>
        <w:t>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preferences that may apply to shares of preferred stock outstanding at the time, the holders of outstanding shares of our common stock are entitled to receive dividends out of assets legally available if our board of directors, in its discretion, determines to issue dividends and only then at the times and in the amounts that our board of directors may determine. If a dividend is paid in the form of shares of Class A common stock or Class B common stock, then the holders of Class A common stock shall be entitled to receive shares of Class A common stock, and holders of Class B common stock shall be entitled to receive shares of Class B common stock, with holders of shares of Class A common stock and Class B common stock receiving, on a per share basis, an identical number of shares of Class A common stock or Class B common stock, as applicable. The foregoing sentence also applies should the dividend be paid in rights to acquire, or securities convertible into or exchangeable for, Class A and Class B common stock. However, upon the approval by the affirmative vote of the holders of a majority of the outstanding shares of Class A common stock and Class B common stock, each voting separately as a class, our board may pay or make a disparate dividend per share of Class A common stock or Class B common stock (whether in the amount of such dividend payable per share, the form in which such dividend is payable, the timing of the payment, or otherwise). </w:t>
      </w:r>
    </w:p>
    <w:p>
      <w:pPr>
        <w:pStyle w:val="TextBody"/>
        <w:bidi w:val="0"/>
        <w:spacing w:before="1" w:after="1"/>
        <w:ind w:left="35" w:right="35" w:firstLine="72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 to Receive Liquidation Distributions</w:t>
      </w:r>
      <w:r>
        <w:rPr>
          <w:rFonts w:ascii="Times New Roman;Times;Serif" w:hAnsi="Times New Roman;Times;Serif"/>
          <w:b w:val="false"/>
          <w:i w:val="false"/>
          <w:caps w:val="false"/>
          <w:smallCaps w:val="false"/>
          <w:sz w:val="20"/>
        </w:rPr>
        <w:t>. Upon our dissolution, liquidation or winding-up, the assets legally available for distribution to our stockholders are distributable ratably among the holders of common stock, subject to prior satisfaction of all outstanding debt and liabilities and the preferential rights and payment of liquidation preferences, if any, on any outstanding shares of preferred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Each share of Class B common stock is convertible into one share of Class A common stock at the option of the holder thereof at any time upon written notice to us. In addition, each share of Class B common stock shall automatically convert into one share of Class A common stock (i) upon any transfer, other than certain transfers to controlled entities or, in the case of individuals, to trusts for estate planning purposes, as more fully described in our certificate of incorporation, of such Class B common stock; (ii) upon the date specified by the holders of at least a majority of the then outstanding shares of Class B common stock, voting as a separate class; or (iii) on the date that is five years after the date the Class A common stock is first registered under Section 12(b) or 12(g) of the Exchange Act (or September 15, 2026).</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Dual-Class Provisions</w:t>
      </w:r>
      <w:r>
        <w:rPr>
          <w:rFonts w:ascii="Times New Roman;Times;Serif" w:hAnsi="Times New Roman;Times;Serif"/>
          <w:b w:val="false"/>
          <w:i w:val="false"/>
          <w:caps w:val="false"/>
          <w:smallCaps w:val="false"/>
          <w:sz w:val="20"/>
        </w:rPr>
        <w:t>. In general, the Class A common stock and Class B common stock are to be treated the same as the other and ratably, on a per share basis, in the case of distributions or payments in respect of the common stock, consolidations or mergers of Greenidge, or consideration to be received in a tender or exchange offer. However, in such transactions, the Class A and Class B common stock are permitted to receive different or disproportionate consideration or distributions (as the case may be) if the per share consideration or distribution in the form of securities issuable to a share of Class B common stock has 10 times the voting power of securities issuable to a share of Class A common stock or if the different or disproportionate consideration or distribution is approved by the affirmative vote of the holders of a majority of the Class A common stock and Class B common stock, each voting separately as a class.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Preemptive or Similar Rights</w:t>
      </w:r>
      <w:r>
        <w:rPr>
          <w:rFonts w:ascii="Times New Roman;Times;Serif" w:hAnsi="Times New Roman;Times;Serif"/>
          <w:b w:val="false"/>
          <w:i w:val="false"/>
          <w:caps w:val="false"/>
          <w:smallCaps w:val="false"/>
          <w:sz w:val="20"/>
        </w:rPr>
        <w:t>. The common stock is not entitled to preemptive rights and is not subject to redemption or sinking fund provisions.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Ownership Limitations or Transfer Restrictions</w:t>
      </w:r>
      <w:r>
        <w:rPr>
          <w:rFonts w:ascii="Times New Roman;Times;Serif" w:hAnsi="Times New Roman;Times;Serif"/>
          <w:b w:val="false"/>
          <w:i w:val="false"/>
          <w:caps w:val="false"/>
          <w:smallCaps w:val="false"/>
          <w:sz w:val="20"/>
        </w:rPr>
        <w:t>. The common stock is not subject to any limitation on the amount of securities that may be held by holders, and except for the conversion feature of the Class B common stock, the common stock is not by its terms subject to any transfer restrictions.</w:t>
      </w:r>
    </w:p>
    <w:p>
      <w:pPr>
        <w:pStyle w:val="TextBody"/>
        <w:bidi w:val="0"/>
        <w:ind w:left="0" w:right="0" w:firstLine="720"/>
        <w:jc w:val="both"/>
        <w:rPr>
          <w:caps w:val="false"/>
          <w:smallCaps w:val="false"/>
        </w:rPr>
      </w:pPr>
      <w:r>
        <w:rPr>
          <w:caps w:val="false"/>
          <w:smallCaps w:val="false"/>
        </w:rPr>
        <w:t> </w:t>
      </w:r>
    </w:p>
    <w:p>
      <w:pPr>
        <w:pStyle w:val="TextBody"/>
        <w:bidi w:val="0"/>
        <w:spacing w:before="1" w:after="1"/>
        <w:ind w:left="1" w:right="1"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Preferred Stock</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certificate of incorporation, 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the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We currently have no shares of preferred stock outstanding, all previously issued shares of preferred stock having been converted, retired, and canceled, and we have no present plan to issue any shares of preferred stock.</w:t>
      </w:r>
    </w:p>
    <w:p>
      <w:pPr>
        <w:pStyle w:val="TextBody"/>
        <w:bidi w:val="0"/>
        <w:spacing w:before="217" w:after="217"/>
        <w:ind w:left="217" w:right="217"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Anti-Takeover Effects of Delaware Law and Charter Provisions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not to be governed by Section 203 of the DGCL, which prohibits a publicly held Delaware corporation from engaging in a business combination, except under certain circumstances, with an interested stockholder.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our bylaws contain certain provisions that may have anti-takeover effects, making it more difficult for or preventing a third party from acquiring control of Greenidge or changing its board of directors and management.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Three-Year Moratorium on Business Combinations with Interested Stockholders</w:t>
      </w:r>
      <w:r>
        <w:rPr>
          <w:rFonts w:ascii="Times New Roman;Times;Serif" w:hAnsi="Times New Roman;Times;Serif"/>
          <w:b w:val="false"/>
          <w:i w:val="false"/>
          <w:caps w:val="false"/>
          <w:smallCaps w:val="false"/>
          <w:sz w:val="20"/>
        </w:rPr>
        <w:t>. Our certificate of incorporation provides that at any time when the Class A common stock is registered under Section 12(b) or 12(g) of the Exchange Act, we cannot engage in a business combination (as described below) with an interested stockholder (as described below) for a period of three years from the time that the stockholder becomes an interested stockholder. This limitation does not apply if: (i) our board has first approved the business combination or transaction by which the stockholder becomes an interested stockholder; (ii) upon consummation of the transaction by which the stockholder becomes an interested stockholder, the interested stockholder owns at least 85% of our then outstanding voting stock, excluding shares owned by persons who are directors and also officers and certain employee stock plans; or (iii) at or subsequent to such time, the business combination is approved by our board of directors and the affirmative vote of at least 66-2/3% of the outstanding voting stock not owned by the interested stockholder at an annual or special meeting of stockholders (not written consent).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“interested stockholder” is any person, other than Greenidge or a direct or indirect majority-owned Greenidge subsidiary, that owns 15% or more of our outstanding voting stock or is an affiliate or associate of ours and was the owner of 15% or more of our outstanding voting stock at any time in the three years prior to the date on which the determination is sought, and the affiliates and associates of such person. An interested stockholder does not include any stockholder whose ownership exceeds the 15% limitation as the result of an action taken solely by us (but only to the extent that such stockholder does not acquire additional voting stock), nor Atlas Capital Resources L.P., its direct transferees, or their respective affiliates, associates, or member of a group under Rule 13d-5 of the Exchange Act. Business combinations prohibited by this provision include (i) a merger or consolidation of Greenidge or any direct or indirect majority-owned Greenidge subsidiary with the interested stockholder or any other entity if the merger or consolidation is caused by the interested stockholder, (ii) any sale, lease, exchange, mortgage, pledge, transfer or other disposition, except proportionately as a stockholder of Greenidge, to or with an interested stockholder (in one or a series of transactions) of assets of Greenidge or any direct or indirect majority-owned Greenidge subsidiary, which assets have an aggregate market value of 10% or more of either the aggregate market value of all our assets on a consolidated basis or of all of our outstanding stock, (iii) any transaction resulting in the issuance or transfer of our stock or subsidiary stock by Greenidge or a direct or indirect wholly owned subsidiary to the interested stockholder, subject to certain exceptions including exercises or conversion of convertible securities, a merger, or transactions generally with all holders that do not increase the interested stockholder’s proportionate share ownership, (iv) any transaction involving us or any direct or indirect wholly owned subsidiary with the direct or indirect effect of increasing the interested stockholder’s proportionate share of our stock or convertible securities or any subsidiary (on a non-immaterial basis), or (v) the interested stockholder’s receipt of the benefit of any loan, advance, guarantee, pledge or other financial benefit (other than those expressly permitted) provided by or through us or a director or indirect wholly owned subsidiary.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Undesignated Preferred Stock</w:t>
      </w:r>
      <w:r>
        <w:rPr>
          <w:rFonts w:ascii="Times New Roman;Times;Serif" w:hAnsi="Times New Roman;Times;Serif"/>
          <w:b w:val="false"/>
          <w:i w:val="false"/>
          <w:caps w:val="false"/>
          <w:smallCaps w:val="false"/>
          <w:sz w:val="20"/>
        </w:rPr>
        <w:t>. Our certificate of incorporation authorizes our board of directors to issue up to 20,000,000 shares of preferred stock without further stockholder approval. The preferred stock may be issued in one or more series, the terms of which may be determined at the time of issuance by our board of directors without further action by the stockholders. These terms may include preferences as to dividends and liquidation, conversion rights, redemption rights, and sinking fund provisions. The issuance of any preferred stock could diminish the rights of holders of common stock and, therefore, could reduce the value of such common stock. In addition, specific rights granted to future holders of preferred stock could be used to restrict our ability to merge with, or sell assets to, a third party. The ability of our board of directors to issue preferred stock could make it more difficult, delay, discourage, prevent, or make it more costly to acquire or effect a change-in-control, which in turn could prevent stockholders from recognizing a gain in the event that a favorable offer is extended and could materially and negatively affect the market price of our Class A common stock.</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 Authority Over Size and Vacancies</w:t>
      </w:r>
      <w:r>
        <w:rPr>
          <w:rFonts w:ascii="Times New Roman;Times;Serif" w:hAnsi="Times New Roman;Times;Serif"/>
          <w:b w:val="false"/>
          <w:i w:val="false"/>
          <w:caps w:val="false"/>
          <w:smallCaps w:val="false"/>
          <w:sz w:val="20"/>
        </w:rPr>
        <w:t>. Our certificate of incorporation vests solely in our board of directors the authority to establish the number of directors and fill any vacancies and newly created directorships. These provisions will prevent a stockholder from increasing the size of our board of directors and gaining control of our board of directors by filling the resulting vacancies with its own nominees. In addition, our certificate of incorporation provides that no member of our board of directors may be removed from office by stockholders without the affirmative vote of the majority in voting power of all of outstanding stock then entitled to vote thereon.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Advance Notice Requirements</w:t>
      </w:r>
      <w:r>
        <w:rPr>
          <w:rFonts w:ascii="Times New Roman;Times;Serif" w:hAnsi="Times New Roman;Times;Serif"/>
          <w:b w:val="false"/>
          <w:i w:val="false"/>
          <w:caps w:val="false"/>
          <w:smallCaps w:val="false"/>
          <w:sz w:val="20"/>
        </w:rPr>
        <w:t>. Our bylaws establish an advance notice procedure for stockholder proposals to be brought before an annual meeting of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who is entitled to vote at the meeting and who has given timely written notice, in proper form, of the stockholder’s intention to bring that business before the meeting. Although our bylaws do not give our board of directors the power to approve or disapprove stockholder nominations of candidates or proposals regarding other business to be conducted at a special or annual meeting, our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Cumulative Voting</w:t>
      </w:r>
      <w:r>
        <w:rPr>
          <w:rFonts w:ascii="Times New Roman;Times;Serif" w:hAnsi="Times New Roman;Times;Serif"/>
          <w:b w:val="false"/>
          <w:i w:val="false"/>
          <w:caps w:val="false"/>
          <w:smallCaps w:val="false"/>
          <w:sz w:val="20"/>
        </w:rPr>
        <w:t>. Neither the holders of common stock nor the holders of preferred stock have cumulative voting rights in the election of directors. The combination of the present ownership by a few stockholders of a significant portion of the issued and outstanding common stock and lack of cumulative voting makes it more difficult for other stockholders to replace our board of directors or for a third party to obtain control of us by replacing our board of directors.</w:t>
      </w:r>
    </w:p>
    <w:p>
      <w:pPr>
        <w:pStyle w:val="TextBody"/>
        <w:bidi w:val="0"/>
        <w:ind w:left="0" w:right="0" w:firstLine="720"/>
        <w:jc w:val="both"/>
        <w:rPr>
          <w:caps w:val="false"/>
          <w:smallCaps w:val="false"/>
        </w:rPr>
      </w:pPr>
      <w:r>
        <w:rPr>
          <w:caps w:val="false"/>
          <w:smallCaps w:val="false"/>
        </w:rPr>
        <w:t> </w:t>
      </w:r>
    </w:p>
    <w:p>
      <w:pPr>
        <w:pStyle w:val="TextBody"/>
        <w:bidi w:val="0"/>
        <w:spacing w:before="1" w:after="1"/>
        <w:ind w:left="1" w:right="1"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Charter Exclusive Forum Provisions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our certificate of incorporation or our bylaws or as to which the DGCL confers jurisdiction on the Court of Chancery of the State of Delaware, or (iv) any action asserting a claim governed by the internal affairs doctrine of the laws of the State of Delaware. The Delaware exclusive forum provision described in the foregoing sentence does not apply to actions arising under the Exchange Act or the Securities Act. In this regard, it is noted that Section 27 of the Exchange Act creates exclusive federal jurisdiction over all suits brought to enforce any duty or liability created by the Exchange Act or the rules and regulations promulgated thereunder and, further, that investors cannot waive compliance with the federal securities laws and the rules and regulations thereunder. It is further noted that our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 Although our certificate of incorporation contains the federal exclusive forum provision described in the foregoing sentence, it is uncertain whether this provision would apply to actions arising under the Securities Act as it is possible that a court could rule that such provision is inapplicable for a particular claim or action or that such provision is unenforceable, particularly in light of Section 22 of the Securities Act, which creates concurrent jurisdiction for federal and state courts over all suits brought to enforce any duty or liability created by the Securities Act or the rules and regulations promulgated thereunder.</w:t>
      </w:r>
    </w:p>
    <w:p>
      <w:pPr>
        <w:pStyle w:val="TextBody"/>
        <w:bidi w:val="0"/>
        <w:spacing w:before="208" w:after="208"/>
        <w:ind w:left="208" w:right="208"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4"/>
          <w:sz w:val="20"/>
        </w:rPr>
        <w:t>Transfer</w:t>
      </w:r>
      <w:r>
        <w:rPr>
          <w:rFonts w:ascii="Times New Roman;Times;Serif" w:hAnsi="Times New Roman;Times;Serif"/>
          <w:b/>
          <w:i w:val="false"/>
          <w:caps w:val="false"/>
          <w:smallCaps w:val="false"/>
          <w:spacing w:val="-2"/>
          <w:sz w:val="20"/>
        </w:rPr>
        <w:t xml:space="preserve"> Agent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Computershare Trust Company, N.A., as the transfer agent for our Class A common stock. The transfer agent’s address is 150 Royall Street, Canton, Massachusetts 02021 and telephone number is +1 (781) 575-2798 or toll free (866) 595-6048.</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Exchange Listing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Class A common stock is listed on The Nasdaq Global Select Market under the trading symbol </w:t>
      </w:r>
      <w:r>
        <w:rPr>
          <w:rFonts w:ascii="Times New Roman;Times;Serif" w:hAnsi="Times New Roman;Times;Serif"/>
          <w:b w:val="false"/>
          <w:i w:val="false"/>
          <w:caps w:val="false"/>
          <w:smallCaps w:val="false"/>
          <w:spacing w:val="-2"/>
          <w:sz w:val="20"/>
        </w:rPr>
        <w:t>“GREE.”</w:t>
      </w:r>
    </w:p>
    <w:p>
      <w:pPr>
        <w:pStyle w:val="TextBody"/>
        <w:bidi w:val="0"/>
        <w:jc w:val="center"/>
        <w:rPr>
          <w:caps w:val="false"/>
          <w:smallCaps w:val="false"/>
          <w:spacing w:val="-2"/>
        </w:rPr>
      </w:pPr>
      <w:r>
        <w:rPr>
          <w:caps w:val="false"/>
          <w:smallCaps w:val="false"/>
          <w:spacing w:val="-2"/>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z w:val="20"/>
        </w:rPr>
      </w:pPr>
      <w:bookmarkStart w:id="11" w:name="DESCRIPTIONOFOURDEBTSECURITIES"/>
      <w:bookmarkEnd w:id="11"/>
      <w:r>
        <w:rPr>
          <w:rFonts w:ascii="Times New Roman;Times;Serif" w:hAnsi="Times New Roman;Times;Serif"/>
          <w:b/>
          <w:i w:val="false"/>
          <w:caps w:val="false"/>
          <w:smallCaps w:val="false"/>
          <w:sz w:val="20"/>
        </w:rPr>
        <w:t xml:space="preserve">DESCRIPTION OF OUR DEBT </w:t>
      </w:r>
      <w:r>
        <w:rPr>
          <w:rFonts w:ascii="Times New Roman;Times;Serif" w:hAnsi="Times New Roman;Times;Serif"/>
          <w:b/>
          <w:i w:val="false"/>
          <w:caps w:val="false"/>
          <w:smallCaps w:val="false"/>
          <w:spacing w:val="-2"/>
          <w:sz w:val="20"/>
        </w:rPr>
        <w:t>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we will describe the particular terms of any debt securities that we may offer in more detail in the applicable prospectus supplement. The terms of any debt securities we offer under a prospectus supplement may differ from the terms we describe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in one or more series, as either senior or subordinated debt or as senior or subordinated convertible debt. The senior debt securities will rank equally with any other unsubordinated debt that we may have and may be secured or unsecured. The subordinated debt securities will be subordinate and junior in right of payment, to the extent and in the manner described in the instrument governing the debt, to all or some portion of our senior indebtedness. Any convertible debt securities that we may issue will be convertible into or exchangeable for Class A common stock, preferred stock or other securities of ours or of a third party. Conversion may be mandatory or at the holder’s option and would be at prescribed conversion rates.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either pursuant to (i) a supplemental indenture to our existing indenture, dated as of October 13, 2021, as amended, modified or supplemented, between us and Wilmington Savings Fund Society, FSB, as trustee (“existing indenture”) or (ii) one or more subordinated debt indentures that we may enter into from time to time with Wilmington Savings Fund Society, FSB, as trustee (“new subordinated debt indenture”).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incorporated by reference our existing indenture and will file a form of supplemental indenture or a new subordinated debt indenture, as applicable, as an exhibit to a prospectus supplement. We use the term “indentures” to refer collectively to our existing indenture and any new subordinated debt indenture.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to the extent not already qualified, will be qualified under the Trust Indenture Act of 1939, as amended (the “Trust Indenture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the material provisions of the senior debt securities, the subordinated debt securities and the indentures, together with the additional information we may include in any applicable prospectus supplements, does not purport to be complete and are subject to, and qualified in their entirety by reference to, all of the provisions of the form of a new subordinated debt indenture to be filed as an exhibit to a prospectus supplement to this registration statement, as it may be supplemented, amended or modified from time to time, as well as our existing indenture that is incorporated by reference as an exhibit to the registration statement of which this prospectus is part. We urge you to read the applicable prospectus supplements related to the debt securities that we sell under this prospectus, as well as the complete indenture, that contain the terms of the debt securities.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General</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describe in the applicable prospectus supplement the terms relating to a series of debt securities, including, to the extent </w:t>
      </w:r>
      <w:r>
        <w:rPr>
          <w:rFonts w:ascii="Times New Roman;Times;Serif" w:hAnsi="Times New Roman;Times;Serif"/>
          <w:b w:val="false"/>
          <w:i w:val="false"/>
          <w:caps w:val="false"/>
          <w:smallCaps w:val="false"/>
          <w:spacing w:val="-2"/>
          <w:sz w:val="20"/>
        </w:rPr>
        <w:t>applicable:</w:t>
      </w:r>
    </w:p>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3"/>
        <w:gridCol w:w="1761"/>
        <w:gridCol w:w="8051"/>
      </w:tblGrid>
      <w:tr>
        <w:trPr/>
        <w:tc>
          <w:tcPr>
            <w:tcW w:w="39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pPr>
            <w:r>
              <w:rPr/>
              <w:t>●</w:t>
            </w:r>
          </w:p>
        </w:tc>
        <w:tc>
          <w:tcPr>
            <w:tcW w:w="8051" w:type="dxa"/>
            <w:tcBorders/>
            <w:vAlign w:val="center"/>
          </w:tcPr>
          <w:p>
            <w:pPr>
              <w:pStyle w:val="TableContents"/>
              <w:bidi w:val="0"/>
              <w:spacing w:before="0" w:after="283"/>
              <w:jc w:val="left"/>
              <w:rPr/>
            </w:pPr>
            <w:r>
              <w:rPr/>
              <w:t xml:space="preserve">the </w:t>
            </w:r>
            <w:r>
              <w:rPr>
                <w:spacing w:val="-2"/>
              </w:rPr>
              <w:t>title;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principal amount being offered and, if a series, the total amount authorized and the total amount </w:t>
            </w:r>
            <w:r>
              <w:rPr>
                <w:spacing w:val="-2"/>
              </w:rPr>
              <w:t>outstanding;</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00"/>
        <w:gridCol w:w="9716"/>
      </w:tblGrid>
      <w:tr>
        <w:trPr/>
        <w:tc>
          <w:tcPr>
            <w:tcW w:w="8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w:t>
            </w:r>
          </w:p>
        </w:tc>
        <w:tc>
          <w:tcPr>
            <w:tcW w:w="9716" w:type="dxa"/>
            <w:tcBorders/>
            <w:vAlign w:val="center"/>
          </w:tcPr>
          <w:p>
            <w:pPr>
              <w:pStyle w:val="TableContents"/>
              <w:bidi w:val="0"/>
              <w:spacing w:before="0" w:after="283"/>
              <w:jc w:val="both"/>
              <w:rPr/>
            </w:pPr>
            <w:r>
              <w:rPr/>
              <w:t>any limit on the amount that may be issued;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or not we will issue the series of debt securities in global form and, if so, the terms and who the depositary will be;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924"/>
        <w:gridCol w:w="9075"/>
      </w:tblGrid>
      <w:tr>
        <w:trPr/>
        <w:tc>
          <w:tcPr>
            <w:tcW w:w="20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pPr>
            <w:r>
              <w:rPr/>
              <w:t>●</w:t>
            </w:r>
          </w:p>
        </w:tc>
        <w:tc>
          <w:tcPr>
            <w:tcW w:w="9075" w:type="dxa"/>
            <w:tcBorders/>
            <w:vAlign w:val="center"/>
          </w:tcPr>
          <w:p>
            <w:pPr>
              <w:pStyle w:val="TableContents"/>
              <w:bidi w:val="0"/>
              <w:spacing w:before="0" w:after="283"/>
              <w:jc w:val="both"/>
              <w:rPr/>
            </w:pPr>
            <w:r>
              <w:rPr/>
              <w:t>the maturity date;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principal amount due at maturity and whether the debt securities will be issued with any original issue discount;</w:t>
            </w:r>
          </w:p>
        </w:tc>
      </w:tr>
    </w:tbl>
    <w:p>
      <w:pPr>
        <w:pStyle w:val="TextBody"/>
        <w:bidi w:val="0"/>
        <w:ind w:left="720" w:right="0" w:hanging="360"/>
        <w:jc w:val="left"/>
        <w:rPr>
          <w:caps w:val="false"/>
          <w:smallCaps w:val="false"/>
        </w:rPr>
      </w:pPr>
      <w:r>
        <w:rPr>
          <w:caps w:val="false"/>
          <w:smallCaps w:val="false"/>
        </w:rPr>
        <w:t> </w:t>
      </w:r>
    </w:p>
    <w:p>
      <w:pPr>
        <w:pStyle w:val="TextBody"/>
        <w:bidi w:val="0"/>
        <w:ind w:left="720" w:right="0" w:hanging="36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and under what circumstances, if any, we will pay additional amounts on any debt securities held by a person who is not a U.S. person for U.S. federal income tax purposes, and whether we can redeem the debt securities if we have to pay such additional amounts;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pPr>
            <w:r>
              <w:rPr/>
              <w:t>whether or not the debt securities will be secured or unsecured, and the terms of any secured debt;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or not the debt securities will be senior or subordinated, and the terms of the subordination of any series of subordinated debt;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08"/>
        <w:gridCol w:w="9706"/>
      </w:tblGrid>
      <w:tr>
        <w:trPr/>
        <w:tc>
          <w:tcPr>
            <w:tcW w:w="9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w:t>
            </w:r>
          </w:p>
        </w:tc>
        <w:tc>
          <w:tcPr>
            <w:tcW w:w="9706" w:type="dxa"/>
            <w:tcBorders/>
            <w:vAlign w:val="center"/>
          </w:tcPr>
          <w:p>
            <w:pPr>
              <w:pStyle w:val="TableContents"/>
              <w:bidi w:val="0"/>
              <w:spacing w:before="0" w:after="283"/>
              <w:jc w:val="both"/>
              <w:rPr/>
            </w:pPr>
            <w:r>
              <w:rPr/>
              <w:t>the place where payments will be payable;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restrictions on transfer, sale or other assignment, if any;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pPr>
            <w:r>
              <w:rPr/>
              <w:t>our right, if any, to defer payment of interest and the maximum length of any such deferral period;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provisions for a sinking fund, purchase or other analogous fund, if any;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if any, on which, and the price at which we are obligated, pursuant to any mandatory sinking fund or analogous fund provisions or otherwise, to redeem, or at the holder’s option to purchase, the series of debt securities;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2"/>
        <w:gridCol w:w="9946"/>
      </w:tblGrid>
      <w:tr>
        <w:trPr/>
        <w:tc>
          <w:tcPr>
            <w:tcW w:w="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283"/>
              <w:jc w:val="both"/>
              <w:rPr/>
            </w:pPr>
            <w:r>
              <w:rPr/>
              <w:t>whether the indenture will restrict our ability and/or the ability of our subsidiaries to:</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69"/>
        <w:gridCol w:w="9509"/>
      </w:tblGrid>
      <w:tr>
        <w:trPr/>
        <w:tc>
          <w:tcPr>
            <w:tcW w:w="12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pPr>
            <w:r>
              <w:rPr/>
              <w:t>●</w:t>
            </w:r>
          </w:p>
        </w:tc>
        <w:tc>
          <w:tcPr>
            <w:tcW w:w="9509" w:type="dxa"/>
            <w:tcBorders/>
            <w:vAlign w:val="center"/>
          </w:tcPr>
          <w:p>
            <w:pPr>
              <w:pStyle w:val="TableContents"/>
              <w:bidi w:val="0"/>
              <w:spacing w:before="0" w:after="283"/>
              <w:jc w:val="both"/>
              <w:rPr/>
            </w:pPr>
            <w:r>
              <w:rPr/>
              <w:t>incur additional indebtedness;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5"/>
        <w:gridCol w:w="9416"/>
      </w:tblGrid>
      <w:tr>
        <w:trPr/>
        <w:tc>
          <w:tcPr>
            <w:tcW w:w="1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pPr>
            <w:r>
              <w:rPr/>
              <w:t>●</w:t>
            </w:r>
          </w:p>
        </w:tc>
        <w:tc>
          <w:tcPr>
            <w:tcW w:w="9416" w:type="dxa"/>
            <w:tcBorders/>
            <w:vAlign w:val="center"/>
          </w:tcPr>
          <w:p>
            <w:pPr>
              <w:pStyle w:val="TableContents"/>
              <w:bidi w:val="0"/>
              <w:spacing w:before="0" w:after="283"/>
              <w:jc w:val="both"/>
              <w:rPr/>
            </w:pPr>
            <w:r>
              <w:rPr/>
              <w:t>issue additional securities;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1282"/>
        <w:gridCol w:w="8637"/>
      </w:tblGrid>
      <w:tr>
        <w:trPr/>
        <w:tc>
          <w:tcPr>
            <w:tcW w:w="28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pPr>
            <w:r>
              <w:rPr/>
              <w:t>●</w:t>
            </w:r>
          </w:p>
        </w:tc>
        <w:tc>
          <w:tcPr>
            <w:tcW w:w="8637" w:type="dxa"/>
            <w:tcBorders/>
            <w:vAlign w:val="center"/>
          </w:tcPr>
          <w:p>
            <w:pPr>
              <w:pStyle w:val="TableContents"/>
              <w:bidi w:val="0"/>
              <w:spacing w:before="0" w:after="283"/>
              <w:jc w:val="both"/>
              <w:rPr/>
            </w:pPr>
            <w:r>
              <w:rPr/>
              <w:t>create liens;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pay dividends and make distributions in respect of our capital stock and the capital stock of our subsidiaries;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780"/>
        <w:gridCol w:w="9251"/>
      </w:tblGrid>
      <w:tr>
        <w:trPr/>
        <w:tc>
          <w:tcPr>
            <w:tcW w:w="1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w:t>
            </w:r>
          </w:p>
        </w:tc>
        <w:tc>
          <w:tcPr>
            <w:tcW w:w="9251" w:type="dxa"/>
            <w:tcBorders/>
            <w:vAlign w:val="center"/>
          </w:tcPr>
          <w:p>
            <w:pPr>
              <w:pStyle w:val="TableContents"/>
              <w:bidi w:val="0"/>
              <w:spacing w:before="0" w:after="283"/>
              <w:jc w:val="both"/>
              <w:rPr/>
            </w:pPr>
            <w:r>
              <w:rPr/>
              <w:t>redeem capital stock;</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pPr>
            <w:r>
              <w:rPr/>
              <w:t>place restrictions on our subsidiaries’ ability to pay dividends, make distributions or transfer assets;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3"/>
        <w:gridCol w:w="9749"/>
      </w:tblGrid>
      <w:tr>
        <w:trPr/>
        <w:tc>
          <w:tcPr>
            <w:tcW w:w="8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283"/>
              <w:jc w:val="both"/>
              <w:rPr/>
            </w:pPr>
            <w:r>
              <w:rPr/>
              <w:t>make investments or other restricted payments;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500"/>
        <w:gridCol w:w="9594"/>
      </w:tblGrid>
      <w:tr>
        <w:trPr/>
        <w:tc>
          <w:tcPr>
            <w:tcW w:w="1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94" w:type="dxa"/>
            <w:tcBorders/>
            <w:vAlign w:val="center"/>
          </w:tcPr>
          <w:p>
            <w:pPr>
              <w:pStyle w:val="TableContents"/>
              <w:bidi w:val="0"/>
              <w:spacing w:before="0" w:after="283"/>
              <w:jc w:val="both"/>
              <w:rPr/>
            </w:pPr>
            <w:r>
              <w:rPr/>
              <w:t>sell or otherwise dispose of assets;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61"/>
        <w:gridCol w:w="9642"/>
      </w:tblGrid>
      <w:tr>
        <w:trPr/>
        <w:tc>
          <w:tcPr>
            <w:tcW w:w="10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pPr>
            <w:r>
              <w:rPr/>
              <w:t>●</w:t>
            </w:r>
          </w:p>
        </w:tc>
        <w:tc>
          <w:tcPr>
            <w:tcW w:w="9642" w:type="dxa"/>
            <w:tcBorders/>
            <w:vAlign w:val="center"/>
          </w:tcPr>
          <w:p>
            <w:pPr>
              <w:pStyle w:val="TableContents"/>
              <w:bidi w:val="0"/>
              <w:spacing w:before="0" w:after="283"/>
              <w:jc w:val="both"/>
              <w:rPr/>
            </w:pPr>
            <w:r>
              <w:rPr/>
              <w:t>enter into sale-leaseback transactions;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2"/>
        <w:gridCol w:w="9811"/>
      </w:tblGrid>
      <w:tr>
        <w:trPr/>
        <w:tc>
          <w:tcPr>
            <w:tcW w:w="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engage in transactions with stockholders and affiliates;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4"/>
        <w:gridCol w:w="9674"/>
      </w:tblGrid>
      <w:tr>
        <w:trPr/>
        <w:tc>
          <w:tcPr>
            <w:tcW w:w="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w:t>
            </w:r>
          </w:p>
        </w:tc>
        <w:tc>
          <w:tcPr>
            <w:tcW w:w="9674" w:type="dxa"/>
            <w:tcBorders/>
            <w:vAlign w:val="center"/>
          </w:tcPr>
          <w:p>
            <w:pPr>
              <w:pStyle w:val="TableContents"/>
              <w:bidi w:val="0"/>
              <w:spacing w:before="0" w:after="283"/>
              <w:jc w:val="both"/>
              <w:rPr/>
            </w:pPr>
            <w:r>
              <w:rPr/>
              <w:t>issue or sell stock of our subsidiaries; or</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528"/>
        <w:gridCol w:w="9560"/>
      </w:tblGrid>
      <w:tr>
        <w:trPr/>
        <w:tc>
          <w:tcPr>
            <w:tcW w:w="11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pPr>
            <w:r>
              <w:rPr/>
              <w:t>effect a consolidation or merger;</w:t>
            </w:r>
          </w:p>
        </w:tc>
      </w:tr>
    </w:tbl>
    <w:p>
      <w:pPr>
        <w:pStyle w:val="TextBody"/>
        <w:bidi w:val="0"/>
        <w:ind w:left="720" w:right="0" w:hanging="360"/>
        <w:jc w:val="left"/>
        <w:rPr>
          <w:caps w:val="false"/>
          <w:smallCaps w:val="false"/>
        </w:rPr>
      </w:pPr>
      <w:r>
        <w:rPr>
          <w:caps w:val="false"/>
          <w:smallCaps w:val="false"/>
        </w:rPr>
        <w:t>  </w:t>
      </w:r>
    </w:p>
    <w:p>
      <w:pPr>
        <w:pStyle w:val="TextBody"/>
        <w:bidi w:val="0"/>
        <w:ind w:left="720" w:right="0" w:hanging="36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whether the indenture will require us to maintain any interest coverage, fixed charge, cash flow-based, asset-based or other financial ratios;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 discussion of any material or special U.S. federal income tax considerations applicable to the debt securities;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7"/>
        <w:gridCol w:w="9757"/>
      </w:tblGrid>
      <w:tr>
        <w:trPr/>
        <w:tc>
          <w:tcPr>
            <w:tcW w:w="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w:t>
            </w:r>
          </w:p>
        </w:tc>
        <w:tc>
          <w:tcPr>
            <w:tcW w:w="9757" w:type="dxa"/>
            <w:tcBorders/>
            <w:vAlign w:val="center"/>
          </w:tcPr>
          <w:p>
            <w:pPr>
              <w:pStyle w:val="TableContents"/>
              <w:bidi w:val="0"/>
              <w:spacing w:before="0" w:after="283"/>
              <w:jc w:val="left"/>
              <w:rPr/>
            </w:pPr>
            <w:r>
              <w:rPr/>
              <w:t>information describing any book-entry features;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0"/>
        <w:gridCol w:w="9814"/>
      </w:tblGrid>
      <w:tr>
        <w:trPr/>
        <w:tc>
          <w:tcPr>
            <w:tcW w:w="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left"/>
              <w:rPr/>
            </w:pPr>
            <w:r>
              <w:rPr/>
              <w:t>the procedures for any auction and remarketing, if any;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whether the debt securities are to be offered at a price such that they will be deemed to be offered at an “original issue discount” as defined in paragraph (a) of Section 1273 of the Internal Revenue Code of 1986, as amended;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denominations in which we will issue the series of debt securities, if other than denominations of $2,000 and any integral multiple of $1,000 in excess thereof;</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8"/>
        <w:gridCol w:w="9988"/>
      </w:tblGrid>
      <w:tr>
        <w:trPr/>
        <w:tc>
          <w:tcPr>
            <w:tcW w:w="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88" w:type="dxa"/>
            <w:tcBorders/>
            <w:vAlign w:val="center"/>
          </w:tcPr>
          <w:p>
            <w:pPr>
              <w:pStyle w:val="TableContents"/>
              <w:bidi w:val="0"/>
              <w:spacing w:before="0" w:after="283"/>
              <w:jc w:val="left"/>
              <w:rPr/>
            </w:pPr>
            <w:r>
              <w:rPr/>
              <w:t>if other than U.S. dollars, the currency in which the series of debt securities will be denominated;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advisable under applicable laws or regulations or advisable in connection with the marketing of the debt securities.</w:t>
            </w:r>
          </w:p>
        </w:tc>
      </w:tr>
    </w:tbl>
    <w:p>
      <w:pPr>
        <w:pStyle w:val="TextBody"/>
        <w:bidi w:val="0"/>
        <w:ind w:left="720" w:right="0" w:hanging="36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Conversion or Exchange Rights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supplements the terms on which a series of debt securities may be convertible into or exchangeable for Class A common stock, preferred stock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 xml:space="preserve">Consolidation, Merger or </w:t>
      </w:r>
      <w:r>
        <w:rPr>
          <w:rFonts w:ascii="Times New Roman;Times;Serif" w:hAnsi="Times New Roman;Times;Serif"/>
          <w:b/>
          <w:i w:val="false"/>
          <w:caps w:val="false"/>
          <w:smallCaps w:val="false"/>
          <w:spacing w:val="-4"/>
          <w:sz w:val="20"/>
        </w:rPr>
        <w:t>Sale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debt securities that we may offer pursuant to this prospectus may limit our ability to merge or consolidate or otherwise sell, convey, transfer or otherwise dispose of all or substantially all of our assets, which terms would be set forth in the applicable prospectus supplement and supplemental indenture. Any successor of ours or acquiror of such assets would have to assume all of our obligations under the indentures and the debt securities, as appropriate.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into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Events of Default Under the Indentures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following are events of default under the indentures with respect to any series of debt securities that we may issue:</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pay interest when due and payable and our failure continues for 30 days and the time for payment has not been validly extended;</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pay the principal or premium, if any, or to make payment required by any sinking fund or analogous fund when due and payable and the time for payment has not been validly extended;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observe or perform any other covenant contained in the debt securities or the indentures, other than a covenant specifically relating to another series of debt securities, and our failure continues for 60 days after we receive notice from the trustee or holders of at least 25% in aggregate principal amount of the outstanding debt securities of the applicable series;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pPr>
            <w:r>
              <w:rPr/>
              <w:t>if specified events of bankruptcy, insolvency or reorganization occur.</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may, by notice to us in writing (and to the trustee if notice is given by such holders), declare the unpaid principal, premium, if any, and accrued interest, if any, due and payable immediately. If an event of default specified in the last bullet point above occurs with respect to us, the principal amount of and accrued interest, if any, of each series of debt securities then outstanding shall be due and payable without any notice or other action on the part of the trustee or any holder.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indemnity and/or security satisfactory to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direction so given by the holder is not in conflict with any law or the applicable indenture, nor subject the trustee to a risk of personal liability in respect of which the trustee has not received indemnification satisfactory to it in its sole discretion against all losses, liabilities and expenses caused by taking or not taking such action;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trustee may take any other action deemed proper by the trustee which is not inconsistent with such direction.</w:t>
            </w:r>
          </w:p>
        </w:tc>
      </w:tr>
    </w:tbl>
    <w:p>
      <w:pPr>
        <w:pStyle w:val="TextBody"/>
        <w:bidi w:val="0"/>
        <w:ind w:left="720" w:right="0" w:hanging="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holder has given written notice to the trustee of a continuing event of default with respect to that series;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holders of at least 25% in aggregate principal amount of the outstanding debt securities of that series have made written request, and such holders have offered indemnity and/or security satisfactory to the trustee, to institute the proceeding as trustee;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trustee does not institute the proceeding and does not receive from the holders of a majority in aggregate principal amount of the outstanding debt securities of that series other conflicting directions, within 60 days after the notice, request and offer.</w:t>
            </w:r>
          </w:p>
        </w:tc>
      </w:tr>
    </w:tbl>
    <w:p>
      <w:pPr>
        <w:pStyle w:val="TextBody"/>
        <w:bidi w:val="0"/>
        <w:ind w:left="720" w:right="0" w:hanging="36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periodically file statements with the trustee regarding our compliance with specified covenants in the </w:t>
      </w:r>
      <w:r>
        <w:rPr>
          <w:rFonts w:ascii="Times New Roman;Times;Serif" w:hAnsi="Times New Roman;Times;Serif"/>
          <w:b w:val="false"/>
          <w:i w:val="false"/>
          <w:caps w:val="false"/>
          <w:smallCaps w:val="false"/>
          <w:spacing w:val="-2"/>
          <w:sz w:val="20"/>
        </w:rPr>
        <w:t>indentures.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Supplemental Indentures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from time to time and at any time enter into an indenture or supplemental indenture without the consent of any holders for one or more of the following purposes:</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evidence the succession of another corporation, and the assumption by the successor corporation of our covenants, agreements and obligations under the indenture and debt securities;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add to our covenants such new covenants, restrictions, conditions or provisions for the protection of the holders, and to make the occurrence, or the occurrence and continuance, of a default in any of such additional covenants, restrictions, conditions or provisions an event of default;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modify, eliminate or add to any of the provisions of the indenture to such extent as necessary to effect the qualification of the indenture under the Trust Indenture Act, and to add to the indenture such other provisions as may be expressly permitted by the Trust Indenture Act, excluding however, the provisions referred to in Section 316(a)(2) of the Trust Indenture Act;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cure any ambiguity or to correct or supplement any provision contained in the indenture or in any supplemental indenture which may be defective or inconsistent with other provisions;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make any other provisions with respect to matters or questions arising under the indenture, provided such action does not adversely affect the interests of any other holder of debt securities in any material respect;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5"/>
        <w:gridCol w:w="9539"/>
      </w:tblGrid>
      <w:tr>
        <w:trPr/>
        <w:tc>
          <w:tcPr>
            <w:tcW w:w="1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w:t>
            </w:r>
          </w:p>
        </w:tc>
        <w:tc>
          <w:tcPr>
            <w:tcW w:w="9539" w:type="dxa"/>
            <w:tcBorders/>
            <w:vAlign w:val="center"/>
          </w:tcPr>
          <w:p>
            <w:pPr>
              <w:pStyle w:val="TableContents"/>
              <w:bidi w:val="0"/>
              <w:spacing w:before="0" w:after="283"/>
              <w:jc w:val="both"/>
              <w:rPr/>
            </w:pPr>
            <w:r>
              <w:rPr/>
              <w:t>to secure any series of security;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evidence and provide for the acceptance and appointment of a successor trustee and to add or change any provisions of the indenture as necessary to provide for or facilitate the administration of the trust by more than one trustee;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to establish the form or terms of securities of any series as permitted under the indenture, including any subordination </w:t>
            </w:r>
            <w:r>
              <w:rPr>
                <w:spacing w:val="-2"/>
              </w:rPr>
              <w:t>provisions.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the trustee, with the consent of the holders of not less than a majority in aggregate principal of the outstanding debt securities of each series that is affected, may from time to time and at any time enter into an indenture or supplemental indenture for the purpose of adding any provisions to or changing in any manner the rights of the holders of the securities of such series and any related coupons of the indenture, provided that no such supplemental indenture shall:</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extend the fixed maturity of any securities, or reduce the principal amount thereof or premium, if any, or reduce the rate or extend the time of payment of interest, without the extent of the holder so affected;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pay dividends and make distributions in respect of our capital stock and the capital stock of our subsidiaries;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reduce the aforesaid percentage of securities, the consent of the holders of which is required for any such supplemental indenture, without the consent of all holders of outstanding series of debt securities;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impair the right to institute suit for the enforcement of any payment on or after the date on which it is due and payable; or</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5"/>
        <w:gridCol w:w="9624"/>
      </w:tblGrid>
      <w:tr>
        <w:trPr/>
        <w:tc>
          <w:tcPr>
            <w:tcW w:w="1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w:t>
            </w:r>
          </w:p>
        </w:tc>
        <w:tc>
          <w:tcPr>
            <w:tcW w:w="9624" w:type="dxa"/>
            <w:tcBorders/>
            <w:vAlign w:val="center"/>
          </w:tcPr>
          <w:p>
            <w:pPr>
              <w:pStyle w:val="TableContents"/>
              <w:bidi w:val="0"/>
              <w:spacing w:before="0" w:after="283"/>
              <w:jc w:val="left"/>
              <w:rPr/>
            </w:pPr>
            <w:r>
              <w:rPr/>
              <w:t>modify any of the above provisions.</w:t>
            </w:r>
          </w:p>
        </w:tc>
      </w:tr>
    </w:tbl>
    <w:p>
      <w:pPr>
        <w:pStyle w:val="TextBody"/>
        <w:bidi w:val="0"/>
        <w:ind w:left="720" w:right="0" w:hanging="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60" w:right="6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Discharge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we can elect to be discharged from our obligations with respect to one or more series of debt securities, except for certain obligations, including obligations to:</w:t>
      </w:r>
    </w:p>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2"/>
        <w:gridCol w:w="9861"/>
      </w:tblGrid>
      <w:tr>
        <w:trPr/>
        <w:tc>
          <w:tcPr>
            <w:tcW w:w="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both"/>
              <w:rPr/>
            </w:pPr>
            <w:r>
              <w:rPr/>
              <w:t>register the transfer or exchange of debt securities of the series;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replace mutilated, destroyed, lost or stolen debt securities of the series;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1"/>
        <w:gridCol w:w="9519"/>
      </w:tblGrid>
      <w:tr>
        <w:trPr/>
        <w:tc>
          <w:tcPr>
            <w:tcW w:w="12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pPr>
            <w:r>
              <w:rPr/>
              <w:t>●</w:t>
            </w:r>
          </w:p>
        </w:tc>
        <w:tc>
          <w:tcPr>
            <w:tcW w:w="9519" w:type="dxa"/>
            <w:tcBorders/>
            <w:vAlign w:val="center"/>
          </w:tcPr>
          <w:p>
            <w:pPr>
              <w:pStyle w:val="TableContents"/>
              <w:bidi w:val="0"/>
              <w:spacing w:before="0" w:after="283"/>
              <w:jc w:val="both"/>
              <w:rPr/>
            </w:pPr>
            <w:r>
              <w:rPr/>
              <w:t>maintain paying agencies;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58"/>
        <w:gridCol w:w="9768"/>
      </w:tblGrid>
      <w:tr>
        <w:trPr/>
        <w:tc>
          <w:tcPr>
            <w:tcW w:w="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w:t>
            </w:r>
          </w:p>
        </w:tc>
        <w:tc>
          <w:tcPr>
            <w:tcW w:w="9768" w:type="dxa"/>
            <w:tcBorders/>
            <w:vAlign w:val="center"/>
          </w:tcPr>
          <w:p>
            <w:pPr>
              <w:pStyle w:val="TableContents"/>
              <w:bidi w:val="0"/>
              <w:spacing w:before="0" w:after="283"/>
              <w:jc w:val="both"/>
              <w:rPr/>
            </w:pPr>
            <w:r>
              <w:rPr/>
              <w:t>compensate and indemnify the debenture trustee.</w:t>
            </w:r>
          </w:p>
        </w:tc>
      </w:tr>
    </w:tbl>
    <w:p>
      <w:pPr>
        <w:pStyle w:val="TextBody"/>
        <w:bidi w:val="0"/>
        <w:ind w:left="720" w:right="0" w:hanging="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must deposit with the debenture trustee money or government obligations, or a combination of both, sufficient to pay all of the principal, premium, if any, and interest on the debt securities of the series on the dates payments are due.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Form, Exchange and Transfer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$2,000 and any integral multiple of $1,000 in excess thereof. The indentures will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elect to redeem the debt securities of any series, we will not be required </w:t>
      </w:r>
      <w:r>
        <w:rPr>
          <w:rFonts w:ascii="Times New Roman;Times;Serif" w:hAnsi="Times New Roman;Times;Serif"/>
          <w:b w:val="false"/>
          <w:i w:val="false"/>
          <w:caps w:val="false"/>
          <w:smallCaps w:val="false"/>
          <w:spacing w:val="-5"/>
          <w:sz w:val="20"/>
        </w:rPr>
        <w:t>to:</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issue, register the transfer of, or exchange any debt securities of any series being redeemed in part during a period beginning at the opening of business 15 days before the day of sending of a notice of redemption of any debt securities that may be selected for redemption and ending at the close of business on the day of such transmission; or</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spacing w:before="6" w:after="6"/>
        <w:ind w:left="6" w:right="6"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Information Concerning the Trustee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an indenture at the request of any holder of debt securities unless it is offered security and indemnity against the costs, expenses and liabilities that it might incur.</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Payment and Paying Agents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may make certain payments by check which we will mail to the holder or by wire transfer to certain holders. Unless we otherwise indicate in a prospectus supplement, we will designate an office or agency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trustee for the payment of the principal of or any premium or interest on any debt securities which remains unclaimed at the end of two years after such principal, premium or interest has become due and payable will be repaid to us, and the holder of the debt security thereafter may look only to us for payment thereof.</w:t>
      </w:r>
    </w:p>
    <w:p>
      <w:pPr>
        <w:pStyle w:val="TextBody"/>
        <w:bidi w:val="0"/>
        <w:ind w:left="0" w:right="0" w:firstLine="720"/>
        <w:jc w:val="both"/>
        <w:rPr>
          <w:caps w:val="false"/>
          <w:smallCaps w:val="false"/>
        </w:rPr>
      </w:pPr>
      <w:r>
        <w:rPr>
          <w:caps w:val="false"/>
          <w:smallCaps w:val="false"/>
        </w:rPr>
        <w:t> </w:t>
      </w:r>
    </w:p>
    <w:p>
      <w:pPr>
        <w:pStyle w:val="TextBody"/>
        <w:bidi w:val="0"/>
        <w:spacing w:before="1" w:after="1"/>
        <w:ind w:left="1" w:right="1"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 xml:space="preserve">Governing </w:t>
      </w:r>
      <w:r>
        <w:rPr>
          <w:rFonts w:ascii="Times New Roman;Times;Serif" w:hAnsi="Times New Roman;Times;Serif"/>
          <w:b/>
          <w:i w:val="false"/>
          <w:caps w:val="false"/>
          <w:smallCaps w:val="false"/>
          <w:spacing w:val="-5"/>
          <w:sz w:val="20"/>
        </w:rPr>
        <w:t>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Subordination of Subordinated Debt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A new subordinated debt indenture in the form to be filed as an exhibit to a prospectus supplement, and our existing indenture, do not limit the amount of indebtedness which we may incur, including senior indebtedness or subordinated indebtedness, and do not limit us from issuing any other debt, including secured debt or unsecured debt. Additional or different subordination provisions may be described in a prospectus supplement relating to a particular series of debt securities.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19</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z w:val="20"/>
        </w:rPr>
      </w:pPr>
      <w:bookmarkStart w:id="12" w:name="DESCRIPTIONOFOURWARRANTS"/>
      <w:bookmarkEnd w:id="12"/>
      <w:r>
        <w:rPr>
          <w:rFonts w:ascii="Times New Roman;Times;Serif" w:hAnsi="Times New Roman;Times;Serif"/>
          <w:b/>
          <w:i w:val="false"/>
          <w:caps w:val="false"/>
          <w:smallCaps w:val="false"/>
          <w:sz w:val="20"/>
        </w:rPr>
        <w:t xml:space="preserve">DESCRIPTION OF OUR </w:t>
      </w:r>
      <w:r>
        <w:rPr>
          <w:rFonts w:ascii="Times New Roman;Times;Serif" w:hAnsi="Times New Roman;Times;Serif"/>
          <w:b/>
          <w:i w:val="false"/>
          <w:caps w:val="false"/>
          <w:smallCaps w:val="false"/>
          <w:spacing w:val="-2"/>
          <w:sz w:val="20"/>
        </w:rPr>
        <w:t>WARRANTS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warrants that we may offer under this prospectus, which consist of warrants to purchase our Class A common stock, preferred stock and/or debt securities in one or more series. Warrants may be offered independently or together with our Class A common stock, preferred stock, debt securities and/or rights offered by any prospectus supplement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The terms of any warrants we offer under a prospectus supplement may differ from the terms we describe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warrants directly or under a warrant agreement which we will enter into with a warrant agent to be selected by us. Each series of warrants will be issued under a separate warrant agreement to be entered into between us and a bank or trust company, as warrant agent, all as set forth in the prospectus supplement relating to the particular issue of offered warrants.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warrants and the warrant agreements are subject to, and qualified in their entirety by reference to, all of the provisions of the warrant agreement applicable to a particular series of warrants. We urge you to read the applicable prospectus supplements related to the warrants that we sell pursuant to this prospectus, as well as the complete warrant agreements that contain the terms of the warrants.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General</w:t>
      </w:r>
    </w:p>
    <w:p>
      <w:pPr>
        <w:pStyle w:val="TextBody"/>
        <w:bidi w:val="0"/>
        <w:spacing w:before="15" w:after="15"/>
        <w:ind w:left="15" w:right="15"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describe in the applicable prospectus supplements the terms relating to a series of </w:t>
      </w:r>
      <w:r>
        <w:rPr>
          <w:rFonts w:ascii="Times New Roman;Times;Serif" w:hAnsi="Times New Roman;Times;Serif"/>
          <w:b w:val="false"/>
          <w:i w:val="false"/>
          <w:caps w:val="false"/>
          <w:smallCaps w:val="false"/>
          <w:spacing w:val="-2"/>
          <w:sz w:val="20"/>
        </w:rPr>
        <w:t>warrants.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warrants for the purchase of our Class A common stock or preferred stock are offered, the prospectus supplements will describe the following terms, to the extent applicable:</w:t>
      </w:r>
    </w:p>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6"/>
        <w:gridCol w:w="9868"/>
      </w:tblGrid>
      <w:tr>
        <w:trPr/>
        <w:tc>
          <w:tcPr>
            <w:tcW w:w="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w:t>
            </w:r>
          </w:p>
        </w:tc>
        <w:tc>
          <w:tcPr>
            <w:tcW w:w="9868" w:type="dxa"/>
            <w:tcBorders/>
            <w:vAlign w:val="center"/>
          </w:tcPr>
          <w:p>
            <w:pPr>
              <w:pStyle w:val="TableContents"/>
              <w:bidi w:val="0"/>
              <w:spacing w:before="0" w:after="283"/>
              <w:jc w:val="both"/>
              <w:rPr/>
            </w:pPr>
            <w:r>
              <w:rPr/>
              <w:t>the offering price and the aggregate number of warrants offered;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total number of shares that can be purchased if a holder of the warrants exercises them and, in the case of warrants for preferred stock, the designation, total number and terms of the series of preferred stock that can be purchased upon exercise;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designation and terms of any series of preferred stock with which the warrants are being offered and the number of warrants being offered with each share of Class A common stock or preferred stock;</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and after which the holder of the warrants can transfer them separately from the related Class A common stock or series of preferred stock;</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number of shares of Class A common stock or preferred stock that can be purchased if a holder exercises the warrant and the price at which such Class A common stock or preferred stock may be purchased upon exercise, including, if applicable, any provisions for changes to or adjustments in the exercise price and in the securities or other property receivable upon exercise;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the terms of any rights to redeem or call, or accelerate the expiration of, the warrants;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the date on which the right to exercise the warrants begins and the date on which that right expires;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2"/>
        <w:gridCol w:w="9713"/>
      </w:tblGrid>
      <w:tr>
        <w:trPr/>
        <w:tc>
          <w:tcPr>
            <w:tcW w:w="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w:t>
            </w:r>
          </w:p>
        </w:tc>
        <w:tc>
          <w:tcPr>
            <w:tcW w:w="9713" w:type="dxa"/>
            <w:tcBorders/>
            <w:vAlign w:val="center"/>
          </w:tcPr>
          <w:p>
            <w:pPr>
              <w:pStyle w:val="TableContents"/>
              <w:bidi w:val="0"/>
              <w:spacing w:before="0" w:after="283"/>
              <w:jc w:val="both"/>
              <w:rPr/>
            </w:pPr>
            <w:r>
              <w:rPr/>
              <w:t>the number of warrants outstanding, if any;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72" w:type="dxa"/>
            <w:tcBorders/>
            <w:vAlign w:val="center"/>
          </w:tcPr>
          <w:p>
            <w:pPr>
              <w:pStyle w:val="TableContents"/>
              <w:bidi w:val="0"/>
              <w:spacing w:before="0" w:after="283"/>
              <w:jc w:val="both"/>
              <w:rPr/>
            </w:pPr>
            <w:r>
              <w:rPr/>
              <w:t>a discussion of any material U.S. federal income tax considerations applicable to the warrants;</w:t>
            </w:r>
          </w:p>
        </w:tc>
      </w:tr>
    </w:tbl>
    <w:p>
      <w:pPr>
        <w:pStyle w:val="TextBody"/>
        <w:bidi w:val="0"/>
        <w:ind w:left="1440" w:right="0" w:hanging="720"/>
        <w:jc w:val="left"/>
        <w:rPr>
          <w:caps w:val="false"/>
          <w:smallCaps w:val="false"/>
        </w:rPr>
      </w:pPr>
      <w:r>
        <w:rPr>
          <w:caps w:val="false"/>
          <w:smallCaps w:val="false"/>
        </w:rPr>
        <w:t> </w:t>
      </w:r>
    </w:p>
    <w:p>
      <w:pPr>
        <w:pStyle w:val="TextBody"/>
        <w:bidi w:val="0"/>
        <w:ind w:left="720" w:right="0" w:hanging="36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20</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the terms, if any, on which we may accelerate the date by which the warrants must be exercised;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warrants are issued pursuant to a warrant agreement with a warrant agent or issued directly by us;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5"/>
        <w:gridCol w:w="9967"/>
      </w:tblGrid>
      <w:tr>
        <w:trPr/>
        <w:tc>
          <w:tcPr>
            <w:tcW w:w="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any other specific terms, preferences, rights or limitations of, or restrictions on, the warrants.</w:t>
            </w:r>
          </w:p>
        </w:tc>
      </w:tr>
    </w:tbl>
    <w:p>
      <w:pPr>
        <w:pStyle w:val="TextBody"/>
        <w:bidi w:val="0"/>
        <w:ind w:left="720" w:right="0" w:hanging="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for the purchase of Class A common stock or preferred stock will be in registered form </w:t>
      </w:r>
      <w:r>
        <w:rPr>
          <w:rFonts w:ascii="Times New Roman;Times;Serif" w:hAnsi="Times New Roman;Times;Serif"/>
          <w:b w:val="false"/>
          <w:i w:val="false"/>
          <w:caps w:val="false"/>
          <w:smallCaps w:val="false"/>
          <w:spacing w:val="-2"/>
          <w:sz w:val="20"/>
        </w:rPr>
        <w:t>only.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warrants for the purchase of debt securities are offered, the prospectus supplement will describe the following terms, to the extent </w:t>
      </w:r>
      <w:r>
        <w:rPr>
          <w:rFonts w:ascii="Times New Roman;Times;Serif" w:hAnsi="Times New Roman;Times;Serif"/>
          <w:b w:val="false"/>
          <w:i w:val="false"/>
          <w:caps w:val="false"/>
          <w:smallCaps w:val="false"/>
          <w:spacing w:val="-2"/>
          <w:sz w:val="20"/>
        </w:rPr>
        <w:t>applicable:</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6"/>
        <w:gridCol w:w="9868"/>
      </w:tblGrid>
      <w:tr>
        <w:trPr/>
        <w:tc>
          <w:tcPr>
            <w:tcW w:w="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w:t>
            </w:r>
          </w:p>
        </w:tc>
        <w:tc>
          <w:tcPr>
            <w:tcW w:w="9868" w:type="dxa"/>
            <w:tcBorders/>
            <w:vAlign w:val="center"/>
          </w:tcPr>
          <w:p>
            <w:pPr>
              <w:pStyle w:val="TableContents"/>
              <w:bidi w:val="0"/>
              <w:spacing w:before="0" w:after="283"/>
              <w:jc w:val="both"/>
              <w:rPr/>
            </w:pPr>
            <w:r>
              <w:rPr/>
              <w:t>the offering price and the aggregate number of warrants offered;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2"/>
        <w:gridCol w:w="9811"/>
      </w:tblGrid>
      <w:tr>
        <w:trPr/>
        <w:tc>
          <w:tcPr>
            <w:tcW w:w="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the currencies in which the warrants are being offered;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designation, aggregate principal amount, currencies, denominations and terms of the series of debt securities that can be purchased if a holder exercises a warrant;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designation and terms of any series of debt securities with which the warrants are being offered and the number of warrants offered with each such debt security;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and after which the holder of the warrants can transfer them separately from the related series of debt securities;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principal amount of the series of debt securities that can be purchased if a holder exercises a warrant and the price at which and currencies in which such principal amount may be purchased upon exercise;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w:t>
            </w:r>
          </w:p>
        </w:tc>
        <w:tc>
          <w:tcPr>
            <w:tcW w:w="9802" w:type="dxa"/>
            <w:tcBorders/>
            <w:vAlign w:val="center"/>
          </w:tcPr>
          <w:p>
            <w:pPr>
              <w:pStyle w:val="TableContents"/>
              <w:bidi w:val="0"/>
              <w:spacing w:before="0" w:after="283"/>
              <w:jc w:val="both"/>
              <w:rPr/>
            </w:pPr>
            <w:r>
              <w:rPr/>
              <w:t>the terms of any rights to redeem or call the warrants;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the date on which the right to exercise the warrants begins and the date on which such right expires;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2"/>
        <w:gridCol w:w="9713"/>
      </w:tblGrid>
      <w:tr>
        <w:trPr/>
        <w:tc>
          <w:tcPr>
            <w:tcW w:w="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t>●</w:t>
            </w:r>
          </w:p>
        </w:tc>
        <w:tc>
          <w:tcPr>
            <w:tcW w:w="9713" w:type="dxa"/>
            <w:tcBorders/>
            <w:vAlign w:val="center"/>
          </w:tcPr>
          <w:p>
            <w:pPr>
              <w:pStyle w:val="TableContents"/>
              <w:bidi w:val="0"/>
              <w:spacing w:before="0" w:after="283"/>
              <w:jc w:val="both"/>
              <w:rPr/>
            </w:pPr>
            <w:r>
              <w:rPr/>
              <w:t>the number of warrants outstanding, if any;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72" w:type="dxa"/>
            <w:tcBorders/>
            <w:vAlign w:val="center"/>
          </w:tcPr>
          <w:p>
            <w:pPr>
              <w:pStyle w:val="TableContents"/>
              <w:bidi w:val="0"/>
              <w:spacing w:before="0" w:after="283"/>
              <w:jc w:val="both"/>
              <w:rPr/>
            </w:pPr>
            <w:r>
              <w:rPr/>
              <w:t>a discussion of any material U.S. federal income tax considerations applicable to the warrants;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the terms, if any, on which we may accelerate the date by which the warrants must be exercised;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whether the warrants are issued pursuant to a warrant agreement with a warrant agent or issued directly by us;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5"/>
        <w:gridCol w:w="9967"/>
      </w:tblGrid>
      <w:tr>
        <w:trPr/>
        <w:tc>
          <w:tcPr>
            <w:tcW w:w="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any other specific terms, preferences, rights or limitations of, or restrictions on, the warrants.</w:t>
            </w:r>
          </w:p>
        </w:tc>
      </w:tr>
    </w:tbl>
    <w:p>
      <w:pPr>
        <w:pStyle w:val="TextBody"/>
        <w:bidi w:val="0"/>
        <w:ind w:left="720" w:right="0" w:hanging="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for the purchase of debt securities will be in registered form </w:t>
      </w:r>
      <w:r>
        <w:rPr>
          <w:rFonts w:ascii="Times New Roman;Times;Serif" w:hAnsi="Times New Roman;Times;Serif"/>
          <w:b w:val="false"/>
          <w:i w:val="false"/>
          <w:caps w:val="false"/>
          <w:smallCaps w:val="false"/>
          <w:spacing w:val="-2"/>
          <w:sz w:val="20"/>
        </w:rPr>
        <w:t>only.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 certificates may exchange them for new certificates of different denominations, present them for registration of transfer and exercise them at the corporate trust office of the warrant agent or any other office indicated in the applicable prospectus supplement. Until any warrants to purchase Class A common stock or preferred stock are exercised, holders of the warrants will not have any rights of holders of the underlying Class A common stock or preferred stock, including any rights to receive dividends or to exercise any voting rights, except to the extent set forth under “Warrant Adjustments” below. Until any warrants to purchase debt securities are exercised, the holder of the warrants will not have any of the rights of holders of the debt securities that can be purchased upon exercise, including any rights to receive payments of principal, premium or interest on the underlying debt securities or to enforce covenants in the applicable indenture.</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21</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60" w:right="6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Exercise of Warrants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warrant is entitled to purchase the number of shares of Class A common stock or preferred stock or principal amount of debt securities, as the case may be, at the exercise price described in the applicable prospectus supplements. After the close of business on the day when the right to exercise terminates (or a later date if we extend the time for exercise), unexercised warrants will become void.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holder of warrants may exercise them by following the general procedure outlined </w:t>
      </w:r>
      <w:r>
        <w:rPr>
          <w:rFonts w:ascii="Times New Roman;Times;Serif" w:hAnsi="Times New Roman;Times;Serif"/>
          <w:b w:val="false"/>
          <w:i w:val="false"/>
          <w:caps w:val="false"/>
          <w:smallCaps w:val="false"/>
          <w:spacing w:val="-2"/>
          <w:sz w:val="20"/>
        </w:rPr>
        <w:t>below:</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delivering to us or to the warrant agent the payment required by the applicable prospectus supplements to purchase the underlying security;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properly completing and signing the reverse side of the warrant certificate representing the warrants;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delivering the warrant certificate representing the warrants to us or to the warrant agent within five business days of receipt of payment of the exercise price.</w:t>
            </w:r>
          </w:p>
        </w:tc>
      </w:tr>
    </w:tbl>
    <w:p>
      <w:pPr>
        <w:pStyle w:val="TextBody"/>
        <w:bidi w:val="0"/>
        <w:ind w:left="720" w:right="0" w:hanging="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 complies with the procedures described above, the warrants will be considered to have been exercised when we receive or the warrant agent receives, as applicable, payment of the exercise price, subject to the transfer books for the securities issuable upon exercise of the warrant not being closed on such date. After the holder has completed those procedures and subject to the foregoing, we will, as soon as practicable, issue and deliver to such holder the Class A common stock, preferred stock or debt securities that such holder purchased upon exercise. If the holder exercises fewer than all of the warrants represented by a warrant certificate, a new warrant certificate will be issued to such holder for the unexercised amount of warrants. Holders of warrants will be required to pay any tax or governmental charge that may be imposed in connection with transferring the underlying securities in connection with the exercise of the warrants.</w:t>
      </w:r>
    </w:p>
    <w:p>
      <w:pPr>
        <w:pStyle w:val="TextBody"/>
        <w:bidi w:val="0"/>
        <w:ind w:left="0" w:right="0" w:firstLine="720"/>
        <w:jc w:val="both"/>
        <w:rPr>
          <w:caps w:val="false"/>
          <w:smallCaps w:val="false"/>
        </w:rPr>
      </w:pPr>
      <w:r>
        <w:rPr>
          <w:caps w:val="false"/>
          <w:smallCaps w:val="false"/>
        </w:rPr>
        <w:t> </w:t>
      </w:r>
    </w:p>
    <w:p>
      <w:pPr>
        <w:pStyle w:val="TextBody"/>
        <w:bidi w:val="0"/>
        <w:spacing w:before="1" w:after="1"/>
        <w:ind w:left="1" w:right="1"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Amendments and Supplements to the Warrant Agreements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a warrant agreement without the consent of the holders of the applicable warrants to cure ambiguities in the warrant agreement, to cure, correct or supplement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4"/>
          <w:sz w:val="20"/>
        </w:rPr>
        <w:t>Warrant</w:t>
      </w:r>
      <w:r>
        <w:rPr>
          <w:rFonts w:ascii="Times New Roman;Times;Serif" w:hAnsi="Times New Roman;Times;Serif"/>
          <w:b/>
          <w:i w:val="false"/>
          <w:caps w:val="false"/>
          <w:smallCaps w:val="false"/>
          <w:spacing w:val="-2"/>
          <w:sz w:val="20"/>
        </w:rPr>
        <w:t xml:space="preserve"> Adjustments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supplements state otherwise, the exercise price of, and the number of securities covered by, a Class A common stock warrant or preferred stock warrant will be adjusted proportionately if we subdivide or combine our Class A common stock or preferred stock,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unless the prospectus supplements state otherwise, if we, without payment </w:t>
      </w:r>
      <w:r>
        <w:rPr>
          <w:rFonts w:ascii="Times New Roman;Times;Serif" w:hAnsi="Times New Roman;Times;Serif"/>
          <w:b w:val="false"/>
          <w:i w:val="false"/>
          <w:caps w:val="false"/>
          <w:smallCaps w:val="false"/>
          <w:spacing w:val="-2"/>
          <w:sz w:val="20"/>
        </w:rPr>
        <w:t>therefor:</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issue capital stock or other securities convertible into or exchangeable for Class A common stock or preferred stock, or any rights to subscribe for, purchase or otherwise acquire any of the foregoing, as a dividend or distribution to holders of our Class A common stock or preferred stock;</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pay any cash to holders of our Class A common stock or preferred stock other than a cash dividend paid out of our current or retained earnings or other than in accordance with the terms of the preferred stock;</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issue any evidence of our indebtedness or rights to subscribe for or purchase our indebtedness to holders of our Class A common stock or preferred stock; or</w:t>
            </w:r>
          </w:p>
        </w:tc>
      </w:tr>
    </w:tbl>
    <w:p>
      <w:pPr>
        <w:pStyle w:val="TextBody"/>
        <w:bidi w:val="0"/>
        <w:ind w:left="720" w:right="0" w:hanging="360"/>
        <w:jc w:val="left"/>
        <w:rPr>
          <w:caps w:val="false"/>
          <w:smallCaps w:val="false"/>
        </w:rPr>
      </w:pPr>
      <w:r>
        <w:rPr>
          <w:caps w:val="false"/>
          <w:smallCaps w:val="false"/>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22</w:t>
            </w:r>
          </w:p>
        </w:tc>
      </w:tr>
    </w:tbl>
    <w:p>
      <w:pPr>
        <w:pStyle w:val="TextBody"/>
        <w:bidi w:val="0"/>
        <w:spacing w:before="0" w:after="0"/>
        <w:ind w:left="0" w:right="0" w:hanging="0"/>
        <w:jc w:val="left"/>
        <w:rPr/>
      </w:pPr>
      <w:hyperlink w:anchor="TableOfContents">
        <w:r>
          <w:rPr>
            <w:rStyle w:val="InternetLink"/>
          </w:rPr>
          <w:t>TABLE OF CONTENTS</w:t>
        </w:r>
      </w:hyperlink>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issue Class A common stock or preferred stock or additional stock or other securities or property to holders of our Class A common stock or preferred stock by way of spinoff, split-up, reclassification, combination of shares or similar corporate rearrangement; then the holders of Class A common stock warrants and preferred stock warrants, as applicable,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Class A common stock or preferred stock, as applicable, issuable under the warrants on the dates on which holders of those securities received or became entitled to receive such additional stock and other securities and property.</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stated above, the exercise price and number of securities covered by a Class A common stock warrant or preferred stock warrant,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Class A common stock warrants and preferred stock warrants may have additional rights under the following </w:t>
      </w:r>
      <w:r>
        <w:rPr>
          <w:rFonts w:ascii="Times New Roman;Times;Serif" w:hAnsi="Times New Roman;Times;Serif"/>
          <w:b w:val="false"/>
          <w:i w:val="false"/>
          <w:caps w:val="false"/>
          <w:smallCaps w:val="false"/>
          <w:spacing w:val="-2"/>
          <w:sz w:val="20"/>
        </w:rPr>
        <w:t>circumstances:</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certain reclassifications, capital reorganizations or changes of the Class A common stock or preferred stock, as applicable;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certain share exchanges, mergers, or similar transactions involving us and which result in changes of our Class A common stock or preferred stock, as applicable; or</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certain sales or dispositions to another entity of all or substantially all of our property and assets.</w:t>
            </w:r>
          </w:p>
        </w:tc>
      </w:tr>
    </w:tbl>
    <w:p>
      <w:pPr>
        <w:pStyle w:val="TextBody"/>
        <w:bidi w:val="0"/>
        <w:ind w:left="720" w:right="0" w:hanging="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of the above transactions occurs and holders of our Class A common stock or preferred stock are entitled to receive stock, securities or other property with respect to or in exchange for their securities, the holders of the Class A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23</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z w:val="20"/>
        </w:rPr>
      </w:pPr>
      <w:bookmarkStart w:id="13" w:name="DESCRIPTIONOFOURRIGHTS"/>
      <w:bookmarkEnd w:id="13"/>
      <w:r>
        <w:rPr>
          <w:rFonts w:ascii="Times New Roman;Times;Serif" w:hAnsi="Times New Roman;Times;Serif"/>
          <w:b/>
          <w:i w:val="false"/>
          <w:caps w:val="false"/>
          <w:smallCaps w:val="false"/>
          <w:sz w:val="20"/>
        </w:rPr>
        <w:t xml:space="preserve">DESCRIPTION OF OUR </w:t>
      </w:r>
      <w:r>
        <w:rPr>
          <w:rFonts w:ascii="Times New Roman;Times;Serif" w:hAnsi="Times New Roman;Times;Serif"/>
          <w:b/>
          <w:i w:val="false"/>
          <w:caps w:val="false"/>
          <w:smallCaps w:val="false"/>
          <w:spacing w:val="-2"/>
          <w:sz w:val="20"/>
        </w:rPr>
        <w:t>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rights that we may offer under this prospectus, which consist of rights to purchase our Class A common stock, preferred stock and/or debt securities in one or more series. Rights may be offered independently or together with our Class A common stock, preferred stock, debt securities and/or warrants offered by any prospectus supplement and may be attached to or separate from those securities. While the terms we have summarized below will generally apply to any future rights we may offer pursuant to this prospectus, we will describe the particular terms of any rights that we may offer in more detail in the applicable prospectus supplements. The terms of any rights we offer under a prospectus supplement may differ from the terms we describe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supplements relating to any rights that we offer will include specific terms of any offering of rights for which this prospectus is being delivered, including the following, to the extent applicable:</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940" w:type="dxa"/>
            <w:tcBorders/>
            <w:vAlign w:val="center"/>
          </w:tcPr>
          <w:p>
            <w:pPr>
              <w:pStyle w:val="TableContents"/>
              <w:bidi w:val="0"/>
              <w:spacing w:before="0" w:after="283"/>
              <w:jc w:val="both"/>
              <w:rPr/>
            </w:pPr>
            <w:r>
              <w:rPr/>
              <w:t>the date for determining the persons entitled to participate in the rights distribution;</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5"/>
        <w:gridCol w:w="9416"/>
      </w:tblGrid>
      <w:tr>
        <w:trPr/>
        <w:tc>
          <w:tcPr>
            <w:tcW w:w="1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pPr>
            <w:r>
              <w:rPr/>
              <w:t>●</w:t>
            </w:r>
          </w:p>
        </w:tc>
        <w:tc>
          <w:tcPr>
            <w:tcW w:w="9416" w:type="dxa"/>
            <w:tcBorders/>
            <w:vAlign w:val="center"/>
          </w:tcPr>
          <w:p>
            <w:pPr>
              <w:pStyle w:val="TableContents"/>
              <w:bidi w:val="0"/>
              <w:spacing w:before="0" w:after="283"/>
              <w:jc w:val="both"/>
              <w:rPr/>
            </w:pPr>
            <w:r>
              <w:rPr/>
              <w:t>the price, if any, per right;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exercise price payable for each share of Class A common stock, share of preferred stock or debt security upon the exercise of the rights;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both"/>
              <w:rPr/>
            </w:pPr>
            <w:r>
              <w:rPr/>
              <w:t>the number of rights issued or to be issued to each holder;</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number and terms of the shares of Class A common stock, shares of preferred stock or debt securities that may be purchased per each right;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383"/>
        <w:gridCol w:w="9737"/>
      </w:tblGrid>
      <w:tr>
        <w:trPr/>
        <w:tc>
          <w:tcPr>
            <w:tcW w:w="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w:t>
            </w:r>
          </w:p>
        </w:tc>
        <w:tc>
          <w:tcPr>
            <w:tcW w:w="9737" w:type="dxa"/>
            <w:tcBorders/>
            <w:vAlign w:val="center"/>
          </w:tcPr>
          <w:p>
            <w:pPr>
              <w:pStyle w:val="TableContents"/>
              <w:bidi w:val="0"/>
              <w:spacing w:before="0" w:after="283"/>
              <w:jc w:val="both"/>
              <w:rPr/>
            </w:pPr>
            <w:r>
              <w:rPr/>
              <w:t>the extent to which the rights are transferable;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rights, including the terms, procedures and limitations relating to the exchange and exercise of the rights;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the respective dates on which the holder’s ability to exercise the rights will commence and will expire;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431"/>
        <w:gridCol w:w="9678"/>
      </w:tblGrid>
      <w:tr>
        <w:trPr/>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pPr>
            <w:r>
              <w:rPr/>
              <w:t>●</w:t>
            </w:r>
          </w:p>
        </w:tc>
        <w:tc>
          <w:tcPr>
            <w:tcW w:w="9678" w:type="dxa"/>
            <w:tcBorders/>
            <w:vAlign w:val="center"/>
          </w:tcPr>
          <w:p>
            <w:pPr>
              <w:pStyle w:val="TableContents"/>
              <w:bidi w:val="0"/>
              <w:spacing w:before="0" w:after="283"/>
              <w:jc w:val="both"/>
              <w:rPr/>
            </w:pPr>
            <w:r>
              <w:rPr/>
              <w:t>the number of rights outstanding, if any;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pPr>
            <w:r>
              <w:rPr/>
              <w:t>a discussion of any material U.S. federal income tax considerations applicable to the rights;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extent to which the rights may include an over-subscription privilege with respect to unsubscribed securities;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the material terms of any standby underwriting or purchase arrangement entered into by us in connection with the offering of such rights.</w:t>
            </w:r>
          </w:p>
        </w:tc>
      </w:tr>
    </w:tbl>
    <w:p>
      <w:pPr>
        <w:pStyle w:val="TextBody"/>
        <w:bidi w:val="0"/>
        <w:ind w:left="720" w:right="0" w:hanging="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description in the applicable prospectus supplements of any rights that we may offer will not necessarily be complete and will be qualified in its entirety by reference to the applicable rights agreement and/or rights certificate, which will be filed with the SEC in connection </w:t>
      </w:r>
      <w:r>
        <w:rPr>
          <w:rFonts w:ascii="Times New Roman;Times;Serif" w:hAnsi="Times New Roman;Times;Serif"/>
          <w:b w:val="false"/>
          <w:i w:val="false"/>
          <w:caps w:val="false"/>
          <w:smallCaps w:val="false"/>
          <w:spacing w:val="-2"/>
          <w:sz w:val="20"/>
        </w:rPr>
        <w:t>therewith.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24</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z w:val="20"/>
        </w:rPr>
      </w:pPr>
      <w:bookmarkStart w:id="14" w:name="DESCRIPTIONOFOURUNITS"/>
      <w:bookmarkEnd w:id="14"/>
      <w:r>
        <w:rPr>
          <w:rFonts w:ascii="Times New Roman;Times;Serif" w:hAnsi="Times New Roman;Times;Serif"/>
          <w:b/>
          <w:i w:val="false"/>
          <w:caps w:val="false"/>
          <w:smallCaps w:val="false"/>
          <w:sz w:val="20"/>
        </w:rPr>
        <w:t xml:space="preserve">DESCRIPTION OF OUR </w:t>
      </w:r>
      <w:r>
        <w:rPr>
          <w:rFonts w:ascii="Times New Roman;Times;Serif" w:hAnsi="Times New Roman;Times;Serif"/>
          <w:b/>
          <w:i w:val="false"/>
          <w:caps w:val="false"/>
          <w:smallCaps w:val="false"/>
          <w:spacing w:val="-2"/>
          <w:sz w:val="20"/>
        </w:rPr>
        <w:t>UNITS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together with the additional information we include in any applicable prospectus supplements, summarizes the material terms and provisions of the units that we may offer under this prospectus, which may consist of one or more shares of our Class A common stock, shares of our preferred stock, debt securities, warrants, rights or any combination of such securities. While the terms we have summarized below will generally apply to any future units we may offer pursuant to this prospectus, we will describe the particular terms of any units that we may offer in more detail in the applicable prospectus supplements. The terms of any units we offer under a prospectus supplement may differ from the terms we describe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supplements relating to any units that we offer will include specific terms of any offering of units for which this prospectus is being delivered, including the following, to the extent applicable:</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6"/>
        <w:gridCol w:w="9990"/>
      </w:tblGrid>
      <w:tr>
        <w:trPr/>
        <w:tc>
          <w:tcPr>
            <w:tcW w:w="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pPr>
            <w:r>
              <w:rPr/>
              <w:t>whether we will apply to have the units traded on a securities exchange or securities quotation system;</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0"/>
        <w:gridCol w:w="9973"/>
      </w:tblGrid>
      <w:tr>
        <w:trPr/>
        <w:tc>
          <w:tcPr>
            <w:tcW w:w="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w:t>
            </w:r>
          </w:p>
        </w:tc>
        <w:tc>
          <w:tcPr>
            <w:tcW w:w="9973" w:type="dxa"/>
            <w:tcBorders/>
            <w:vAlign w:val="center"/>
          </w:tcPr>
          <w:p>
            <w:pPr>
              <w:pStyle w:val="TableContents"/>
              <w:bidi w:val="0"/>
              <w:spacing w:before="0" w:after="283"/>
              <w:jc w:val="both"/>
              <w:rPr/>
            </w:pPr>
            <w:r>
              <w:rPr/>
              <w:t>a discussion of any material U.S. federal income tax considerations applicable to the units;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how, for U.S. federal income tax purposes, the purchase price paid for the units is to be allocated among the component securities.</w:t>
            </w:r>
          </w:p>
        </w:tc>
      </w:tr>
    </w:tbl>
    <w:p>
      <w:pPr>
        <w:pStyle w:val="TextBody"/>
        <w:bidi w:val="0"/>
        <w:ind w:left="720" w:right="0" w:hanging="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supplements of any units that we may offer will not necessarily be complete and will be qualified in its entirety by reference to the applicable unit agreement, which will be filed with the SEC in connection therewith.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25</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z w:val="20"/>
        </w:rPr>
      </w:pPr>
      <w:bookmarkStart w:id="15" w:name="PLANOFDISTRIBUTION"/>
      <w:bookmarkEnd w:id="15"/>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 xml:space="preserve">Sales by </w:t>
      </w:r>
      <w:r>
        <w:rPr>
          <w:rFonts w:ascii="Times New Roman;Times;Serif" w:hAnsi="Times New Roman;Times;Serif"/>
          <w:b/>
          <w:i w:val="false"/>
          <w:caps w:val="false"/>
          <w:smallCaps w:val="false"/>
          <w:spacing w:val="-5"/>
          <w:sz w:val="20"/>
        </w:rPr>
        <w:t>Us</w:t>
      </w:r>
    </w:p>
    <w:p>
      <w:pPr>
        <w:pStyle w:val="TextBody"/>
        <w:bidi w:val="0"/>
        <w:jc w:val="left"/>
        <w:rPr>
          <w:caps w:val="false"/>
          <w:smallCaps w:val="false"/>
          <w:spacing w:val="-5"/>
        </w:rPr>
      </w:pPr>
      <w:r>
        <w:rPr>
          <w:caps w:val="false"/>
          <w:smallCaps w:val="false"/>
          <w:spacing w:val="-5"/>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sell the securities being offered hereby in one or more of the following ways from time to </w:t>
      </w:r>
      <w:r>
        <w:rPr>
          <w:rFonts w:ascii="Times New Roman;Times;Serif" w:hAnsi="Times New Roman;Times;Serif"/>
          <w:b w:val="false"/>
          <w:i w:val="false"/>
          <w:caps w:val="false"/>
          <w:smallCaps w:val="false"/>
          <w:spacing w:val="-2"/>
          <w:sz w:val="20"/>
        </w:rPr>
        <w:t>time: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624"/>
        <w:gridCol w:w="9442"/>
      </w:tblGrid>
      <w:tr>
        <w:trPr/>
        <w:tc>
          <w:tcPr>
            <w:tcW w:w="13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pPr>
            <w:r>
              <w:rPr/>
              <w:t>●</w:t>
            </w:r>
          </w:p>
        </w:tc>
        <w:tc>
          <w:tcPr>
            <w:tcW w:w="9442" w:type="dxa"/>
            <w:tcBorders/>
            <w:vAlign w:val="center"/>
          </w:tcPr>
          <w:p>
            <w:pPr>
              <w:pStyle w:val="TableContents"/>
              <w:bidi w:val="0"/>
              <w:spacing w:before="0" w:after="283"/>
              <w:jc w:val="both"/>
              <w:rPr/>
            </w:pPr>
            <w:r>
              <w:rPr/>
              <w:t>to or through underwriters;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any national securities exchange or quotation service on which the securities may be listed or quoted at the time of sale;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51"/>
        <w:gridCol w:w="9532"/>
      </w:tblGrid>
      <w:tr>
        <w:trPr/>
        <w:tc>
          <w:tcPr>
            <w:tcW w:w="1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pPr>
            <w:r>
              <w:rPr/>
              <w:t>●</w:t>
            </w:r>
          </w:p>
        </w:tc>
        <w:tc>
          <w:tcPr>
            <w:tcW w:w="9532" w:type="dxa"/>
            <w:tcBorders/>
            <w:vAlign w:val="center"/>
          </w:tcPr>
          <w:p>
            <w:pPr>
              <w:pStyle w:val="TableContents"/>
              <w:bidi w:val="0"/>
              <w:spacing w:before="0" w:after="283"/>
              <w:jc w:val="both"/>
              <w:rPr/>
            </w:pPr>
            <w:r>
              <w:rPr/>
              <w:t>in the over-the-counter market;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both"/>
              <w:rPr/>
            </w:pPr>
            <w:r>
              <w:rPr/>
              <w:t>in transactions other than on these exchanges or systems or in the over-the-counter market;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“at the market offerings,” within the meaning of Rule 415(a)(4) of the Securities Act, to or through market makers or into an existing market for the securities;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block trades in which the broker-dealer will attempt to sell the shares as agent but may position and resell a portion of the block as principal to facilitate the transaction;</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19"/>
        <w:gridCol w:w="9937"/>
      </w:tblGrid>
      <w:tr>
        <w:trPr/>
        <w:tc>
          <w:tcPr>
            <w:tcW w:w="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0"/>
        <w:gridCol w:w="9569"/>
      </w:tblGrid>
      <w:tr>
        <w:trPr/>
        <w:tc>
          <w:tcPr>
            <w:tcW w:w="1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w:t>
            </w:r>
          </w:p>
        </w:tc>
        <w:tc>
          <w:tcPr>
            <w:tcW w:w="9569" w:type="dxa"/>
            <w:tcBorders/>
            <w:vAlign w:val="center"/>
          </w:tcPr>
          <w:p>
            <w:pPr>
              <w:pStyle w:val="TableContents"/>
              <w:bidi w:val="0"/>
              <w:spacing w:before="0" w:after="283"/>
              <w:jc w:val="both"/>
              <w:rPr/>
            </w:pPr>
            <w:r>
              <w:rPr/>
              <w:t>privately negotiated transactions;</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5"/>
        <w:gridCol w:w="9734"/>
      </w:tblGrid>
      <w:tr>
        <w:trPr/>
        <w:tc>
          <w:tcPr>
            <w:tcW w:w="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pPr>
            <w:r>
              <w:rPr/>
              <w:t>●</w:t>
            </w:r>
          </w:p>
        </w:tc>
        <w:tc>
          <w:tcPr>
            <w:tcW w:w="9734" w:type="dxa"/>
            <w:tcBorders/>
            <w:vAlign w:val="center"/>
          </w:tcPr>
          <w:p>
            <w:pPr>
              <w:pStyle w:val="TableContents"/>
              <w:bidi w:val="0"/>
              <w:spacing w:before="0" w:after="283"/>
              <w:jc w:val="both"/>
              <w:rPr/>
            </w:pPr>
            <w:r>
              <w:rPr/>
              <w:t>an accelerated securities repurchase program;</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5"/>
        <w:gridCol w:w="9783"/>
      </w:tblGrid>
      <w:tr>
        <w:trPr/>
        <w:tc>
          <w:tcPr>
            <w:tcW w:w="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w:t>
            </w:r>
          </w:p>
        </w:tc>
        <w:tc>
          <w:tcPr>
            <w:tcW w:w="9783" w:type="dxa"/>
            <w:tcBorders/>
            <w:vAlign w:val="center"/>
          </w:tcPr>
          <w:p>
            <w:pPr>
              <w:pStyle w:val="TableContents"/>
              <w:bidi w:val="0"/>
              <w:spacing w:before="0" w:after="283"/>
              <w:jc w:val="both"/>
              <w:rPr/>
            </w:pPr>
            <w:r>
              <w:rPr/>
              <w:t>a combination of any of these methods of sale;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any other method permitted pursuant to applicable law.</w:t>
            </w:r>
          </w:p>
        </w:tc>
      </w:tr>
    </w:tbl>
    <w:p>
      <w:pPr>
        <w:pStyle w:val="TextBody"/>
        <w:bidi w:val="0"/>
        <w:ind w:left="720" w:right="0" w:hanging="36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identify the specific plan of distribution, including any underwriters, dealers, agents or other purchasers, persons or entities, and any applicable compensation, in a prospectus supplement, in an amendment to the registration statement of which this prospectus is a part, or in other filings we make with the SEC under the Exchange Act, which are incorporated by reference.</w:t>
      </w:r>
    </w:p>
    <w:p>
      <w:pPr>
        <w:pStyle w:val="TextBody"/>
        <w:bidi w:val="0"/>
        <w:ind w:left="0" w:right="0" w:firstLine="720"/>
        <w:jc w:val="both"/>
        <w:rPr>
          <w:caps w:val="false"/>
          <w:smallCaps w:val="false"/>
        </w:rPr>
      </w:pPr>
      <w:r>
        <w:rPr>
          <w:caps w:val="false"/>
          <w:smallCaps w:val="false"/>
        </w:rPr>
        <w:t> </w:t>
      </w:r>
    </w:p>
    <w:p>
      <w:pPr>
        <w:pStyle w:val="TextBody"/>
        <w:bidi w:val="0"/>
        <w:spacing w:before="1" w:after="1"/>
        <w:ind w:left="1" w:right="1"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Sale through Underwriters or Brokers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 allowed or paid to brokers.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name or names of any underwriters, brokers or agents and the purchase price of the securities in a prospectus supplement relating to the securities.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26</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may receive compensation from us or from purchasers of the securities, for whom they may act as agents, in the form of discounts, concessions or commissions. Underwriters may sell the securities to or through brokers, and these brokers may receive compensation in the form of discounts, concessions or commissions from the underwriters and/or commissions from the purchasers for whom they may act as agents, which is not expected to exceed that customary in the types of transactions involved. Underwriters, brokers and agents that participate in the distribution of the securities may be deemed to be underwriters, and any discounts or commissions they receive from us, and any profit on the resale of the securities they realize may be deemed to be underwriting discounts and commissions, under the Securities Act. The prospectus supplement will identify any underwriter or agent and will describe any compensation they receive from 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Underwriters could make sales in privately negotiated transactions and/or any other method permitted by law, including sales deemed to be an “at the market” offering, sales made directly on Nasdaq, the existing trading market for our shares of Class A common stock, or sales made to or through a market maker other than on Nasdaq. The name of any such underwriter or agent involved in the offer and sale of our securities, the amounts underwritten, and the nature of its obligations to take our securities will be described in the applicable prospectus </w:t>
      </w:r>
      <w:r>
        <w:rPr>
          <w:rFonts w:ascii="Times New Roman;Times;Serif" w:hAnsi="Times New Roman;Times;Serif"/>
          <w:b w:val="false"/>
          <w:i w:val="false"/>
          <w:caps w:val="false"/>
          <w:smallCaps w:val="false"/>
          <w:spacing w:val="-2"/>
          <w:sz w:val="20"/>
        </w:rPr>
        <w:t>supplement.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prospectus supplement, each series of the securities will be a new issue with no established trading market, other than our shares of Class A common stock, which are currently traded on Nasdaq. It is possible that one or more underwriters may make a market in a series of the securities, but underwriters will not be obligated to do so and may discontinue any market making at any time without notice. Therefore, we can give no assurance about the liquidity of the trading market for any of the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we may enter into, we may indemnify underwriters, brokers, and agents who participate in the distribution of the securities against certain liabilities, including liabilities under the Securities Act, or contribute with respect to payments that the underwriters, brokers or agents may be required to make.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compensation we pay underwriters or brokers will be subject to the guidelines of the Financial Industry Regulatory Authority, </w:t>
      </w:r>
      <w:r>
        <w:rPr>
          <w:rFonts w:ascii="Times New Roman;Times;Serif" w:hAnsi="Times New Roman;Times;Serif"/>
          <w:b w:val="false"/>
          <w:i w:val="false"/>
          <w:caps w:val="false"/>
          <w:smallCaps w:val="false"/>
          <w:spacing w:val="-4"/>
          <w:sz w:val="20"/>
        </w:rPr>
        <w:t>Inc.</w:t>
      </w:r>
    </w:p>
    <w:p>
      <w:pPr>
        <w:pStyle w:val="TextBody"/>
        <w:bidi w:val="0"/>
        <w:ind w:left="0" w:right="0" w:firstLine="720"/>
        <w:jc w:val="both"/>
        <w:rPr>
          <w:caps w:val="false"/>
          <w:smallCaps w:val="false"/>
          <w:spacing w:val="-4"/>
        </w:rPr>
      </w:pPr>
      <w:r>
        <w:rPr>
          <w:caps w:val="false"/>
          <w:smallCaps w:val="false"/>
          <w:spacing w:val="-4"/>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disclose the compensation in any applicable prospectus supplement or pricing supplement, as the case may </w:t>
      </w:r>
      <w:r>
        <w:rPr>
          <w:rFonts w:ascii="Times New Roman;Times;Serif" w:hAnsi="Times New Roman;Times;Serif"/>
          <w:b w:val="false"/>
          <w:i w:val="false"/>
          <w:caps w:val="false"/>
          <w:smallCaps w:val="false"/>
          <w:spacing w:val="-5"/>
          <w:sz w:val="20"/>
        </w:rPr>
        <w:t>be.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 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brokers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we may engage in transactions with these underwriters, brokers, and agents in the ordinary course of </w:t>
      </w:r>
      <w:r>
        <w:rPr>
          <w:rFonts w:ascii="Times New Roman;Times;Serif" w:hAnsi="Times New Roman;Times;Serif"/>
          <w:b w:val="false"/>
          <w:i w:val="false"/>
          <w:caps w:val="false"/>
          <w:smallCaps w:val="false"/>
          <w:spacing w:val="-2"/>
          <w:sz w:val="20"/>
        </w:rPr>
        <w:t>business.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Direct Sales and Sales through Agents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In this case, no underwriters or agents would be involved. We also may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w:t>
      </w:r>
      <w:r>
        <w:rPr>
          <w:rFonts w:ascii="Times New Roman;Times;Serif" w:hAnsi="Times New Roman;Times;Serif"/>
          <w:b w:val="false"/>
          <w:i w:val="false"/>
          <w:caps w:val="false"/>
          <w:smallCaps w:val="false"/>
          <w:spacing w:val="-2"/>
          <w:sz w:val="20"/>
        </w:rPr>
        <w:t>supplement.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27</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pacing w:val="-2"/>
          <w:sz w:val="20"/>
        </w:rPr>
      </w:pPr>
      <w:bookmarkStart w:id="16" w:name="LEGALMATTERS"/>
      <w:bookmarkEnd w:id="16"/>
      <w:r>
        <w:rPr>
          <w:rFonts w:ascii="Times New Roman;Times;Serif" w:hAnsi="Times New Roman;Times;Serif"/>
          <w:b/>
          <w:i w:val="false"/>
          <w:caps w:val="false"/>
          <w:smallCaps w:val="false"/>
          <w:spacing w:val="-2"/>
          <w:sz w:val="20"/>
        </w:rPr>
        <w:t>LEGAL MATTERS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being offered by this prospectus will be passed upon for us by Olshan Frome Wolosky LLP, New York, New York. Additional legal matters may be passed upon for us or any underwriters, dealers or agents by counsel that we will name in the applicable prospectus supplement.</w:t>
      </w:r>
    </w:p>
    <w:p>
      <w:pPr>
        <w:pStyle w:val="TextBody"/>
        <w:bidi w:val="0"/>
        <w:ind w:left="0" w:right="0" w:firstLine="720"/>
        <w:jc w:val="both"/>
        <w:rPr>
          <w:caps w:val="false"/>
          <w:smallCaps w:val="false"/>
        </w:rPr>
      </w:pPr>
      <w:r>
        <w:rPr>
          <w:caps w:val="false"/>
          <w:smallCaps w:val="false"/>
        </w:rPr>
        <w:t> </w:t>
      </w:r>
    </w:p>
    <w:p>
      <w:pPr>
        <w:pStyle w:val="TextBody"/>
        <w:bidi w:val="0"/>
        <w:ind w:left="10" w:right="0" w:hanging="0"/>
        <w:jc w:val="center"/>
        <w:rPr>
          <w:rFonts w:ascii="Times New Roman;Times;Serif" w:hAnsi="Times New Roman;Times;Serif"/>
          <w:b/>
          <w:i w:val="false"/>
          <w:caps w:val="false"/>
          <w:smallCaps w:val="false"/>
          <w:spacing w:val="-2"/>
          <w:sz w:val="20"/>
        </w:rPr>
      </w:pPr>
      <w:bookmarkStart w:id="17" w:name="EXPERTS"/>
      <w:bookmarkEnd w:id="17"/>
      <w:r>
        <w:rPr>
          <w:rFonts w:ascii="Times New Roman;Times;Serif" w:hAnsi="Times New Roman;Times;Serif"/>
          <w:b/>
          <w:i w:val="false"/>
          <w:caps w:val="false"/>
          <w:smallCaps w:val="false"/>
          <w:spacing w:val="-2"/>
          <w:sz w:val="20"/>
        </w:rPr>
        <w:t>EXPERTS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Greenidge Generation Holdings Inc., incorporated in this prospectus by reference to the Annual Report on Form 10-K for the year ended December 31, 2025, have been so incorporated in reliance on the report (which contains an explanatory paragraph regarding the Company’s ability to continue as a going concern) of MaloneBailey, LLP, an independent registered public accounting firm, given on the authority of said firm as experts in auditing and accounting.</w:t>
      </w:r>
    </w:p>
    <w:p>
      <w:pPr>
        <w:pStyle w:val="TextBody"/>
        <w:bidi w:val="0"/>
        <w:ind w:left="0" w:right="0" w:firstLine="720"/>
        <w:jc w:val="both"/>
        <w:rPr>
          <w:caps w:val="false"/>
          <w:smallCaps w:val="false"/>
        </w:rPr>
      </w:pPr>
      <w:r>
        <w:rPr>
          <w:caps w:val="false"/>
          <w:smallCaps w:val="false"/>
        </w:rPr>
        <w:t> </w:t>
      </w:r>
    </w:p>
    <w:p>
      <w:pPr>
        <w:pStyle w:val="TextBody"/>
        <w:bidi w:val="0"/>
        <w:ind w:left="10" w:right="0" w:hanging="0"/>
        <w:jc w:val="center"/>
        <w:rPr>
          <w:rFonts w:ascii="Times New Roman;Times;Serif" w:hAnsi="Times New Roman;Times;Serif"/>
          <w:b/>
          <w:i w:val="false"/>
          <w:caps w:val="false"/>
          <w:smallCaps w:val="false"/>
          <w:sz w:val="20"/>
        </w:rPr>
      </w:pPr>
      <w:bookmarkStart w:id="18" w:name="WHEREYOUCANFINDMOREINFORMATION"/>
      <w:bookmarkEnd w:id="18"/>
      <w:r>
        <w:rPr>
          <w:rFonts w:ascii="Times New Roman;Times;Serif" w:hAnsi="Times New Roman;Times;Serif"/>
          <w:b/>
          <w:i w:val="false"/>
          <w:caps w:val="false"/>
          <w:smallCaps w:val="false"/>
          <w:sz w:val="20"/>
        </w:rPr>
        <w:t xml:space="preserve">WHERE YOU CAN FIND MORE </w:t>
      </w:r>
      <w:r>
        <w:rPr>
          <w:rFonts w:ascii="Times New Roman;Times;Serif" w:hAnsi="Times New Roman;Times;Serif"/>
          <w:b/>
          <w:i w:val="false"/>
          <w:caps w:val="false"/>
          <w:smallCaps w:val="false"/>
          <w:spacing w:val="-2"/>
          <w:sz w:val="20"/>
        </w:rPr>
        <w:t>INFORMATION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We encourage you to carefully read the registration statement and the exhibits and schedules to the registration statement.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The SEC maintains a website at www.sec.gov that contains reports, proxy and information statements and other information regarding issuers that file electronically with the SEC, including 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documents referred to below under “Incorporation of Certain Information by Reference” are also available on our Internet website www.greenidge.com. We have not incorporated by reference into this prospectus the information on our website, and you should not consider it to be a part of this prospectus.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28</w:t>
            </w:r>
          </w:p>
        </w:tc>
      </w:tr>
    </w:tbl>
    <w:p>
      <w:pPr>
        <w:pStyle w:val="TextBody"/>
        <w:bidi w:val="0"/>
        <w:spacing w:before="0" w:after="0"/>
        <w:ind w:left="0" w:right="0" w:hanging="0"/>
        <w:jc w:val="left"/>
        <w:rPr/>
      </w:pPr>
      <w:hyperlink w:anchor="TableOfContents">
        <w:r>
          <w:rPr>
            <w:rStyle w:val="InternetLink"/>
          </w:rPr>
          <w:t>TABLE OF CONTENTS</w:t>
        </w:r>
      </w:hyperlink>
      <w:r>
        <w:rPr/>
        <w:t> </w:t>
      </w:r>
    </w:p>
    <w:p>
      <w:pPr>
        <w:pStyle w:val="TextBody"/>
        <w:bidi w:val="0"/>
        <w:spacing w:before="60" w:after="60"/>
        <w:ind w:left="10" w:right="60" w:hanging="0"/>
        <w:jc w:val="center"/>
        <w:rPr>
          <w:rFonts w:ascii="Times New Roman;Times;Serif" w:hAnsi="Times New Roman;Times;Serif"/>
          <w:b/>
          <w:i w:val="false"/>
          <w:caps w:val="false"/>
          <w:smallCaps w:val="false"/>
          <w:spacing w:val="-2"/>
          <w:sz w:val="20"/>
        </w:rPr>
      </w:pPr>
      <w:bookmarkStart w:id="19" w:name="INCORPORATIONOFCERTAININFORMATIONBYREFER"/>
      <w:bookmarkEnd w:id="19"/>
      <w:r>
        <w:rPr>
          <w:rFonts w:ascii="Times New Roman;Times;Serif" w:hAnsi="Times New Roman;Times;Serif"/>
          <w:b/>
          <w:i w:val="false"/>
          <w:caps w:val="false"/>
          <w:smallCaps w:val="false"/>
          <w:spacing w:val="-2"/>
          <w:sz w:val="20"/>
        </w:rPr>
        <w:t>INCORPORATION OF CERTAIN INFORMATION BY REFERENCE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and applicable law allows us to “incorporate by reference” the information from other documents we file with the SEC,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(including those made after the date of the initial filing of the registration statement of which this prospectus is a part and prior to the effectiveness of such registration statement) we will make with the SEC under Sections 13(a), 13(c), 14, or 15(d) of the Exchange Act until the termination of the registration statement of which this prospectus is a part (other than, in each case, documents or information deemed to have been furnished and not filed in accordance with SEC rules):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year ended December 31, 2025, filed with the SEC on March 31, 2026;</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information specifically incorporated by reference into our Annual Report on Form 10-K for the year ended December 31, 2025 from our Definitive Proxy Statement on </w:t>
            </w:r>
            <w:hyperlink r:id="rId4">
              <w:r>
                <w:rPr>
                  <w:rStyle w:val="InternetLink"/>
                </w:rPr>
                <w:t>Schedule 14A</w:t>
              </w:r>
            </w:hyperlink>
            <w:r>
              <w:rPr/>
              <w:t>, filed with the SEC on April 30, 2026;</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Quarterly Report on </w:t>
            </w:r>
            <w:hyperlink r:id="rId5">
              <w:r>
                <w:rPr>
                  <w:rStyle w:val="InternetLink"/>
                </w:rPr>
                <w:t>Form 10-Q</w:t>
              </w:r>
            </w:hyperlink>
            <w:r>
              <w:rPr/>
              <w:t xml:space="preserve"> for the quarter ended March 31, 2026, filed with the SEC on May 15, 2026;</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our Current Reports on Form 8-K (only to the extent “filed” and not “furnished”), filed with the SEC on </w:t>
            </w:r>
            <w:hyperlink r:id="rId6">
              <w:r>
                <w:rPr>
                  <w:rStyle w:val="InternetLink"/>
                </w:rPr>
                <w:t>March 11, 2026</w:t>
              </w:r>
            </w:hyperlink>
            <w:r>
              <w:rPr/>
              <w:t xml:space="preserve">, </w:t>
            </w:r>
            <w:hyperlink r:id="rId7">
              <w:r>
                <w:rPr>
                  <w:rStyle w:val="InternetLink"/>
                </w:rPr>
                <w:t>April 9, 2026</w:t>
              </w:r>
            </w:hyperlink>
            <w:r>
              <w:rPr/>
              <w:t xml:space="preserve">, </w:t>
            </w:r>
            <w:hyperlink r:id="rId8">
              <w:r>
                <w:rPr>
                  <w:rStyle w:val="InternetLink"/>
                </w:rPr>
                <w:t>April 16, 2026</w:t>
              </w:r>
            </w:hyperlink>
            <w:r>
              <w:rPr/>
              <w:t xml:space="preserve">, </w:t>
            </w:r>
            <w:hyperlink r:id="rId9">
              <w:r>
                <w:rPr>
                  <w:rStyle w:val="InternetLink"/>
                </w:rPr>
                <w:t>May 1, 2026</w:t>
              </w:r>
            </w:hyperlink>
            <w:r>
              <w:rPr/>
              <w:t xml:space="preserve">, </w:t>
            </w:r>
            <w:hyperlink r:id="rId10">
              <w:r>
                <w:rPr>
                  <w:rStyle w:val="InternetLink"/>
                </w:rPr>
                <w:t>June 4, 2026</w:t>
              </w:r>
            </w:hyperlink>
            <w:r>
              <w:rPr/>
              <w:t xml:space="preserve"> and </w:t>
            </w:r>
            <w:hyperlink r:id="rId11">
              <w:r>
                <w:rPr>
                  <w:rStyle w:val="InternetLink"/>
                </w:rPr>
                <w:t>June 25, 2026</w:t>
              </w:r>
            </w:hyperlink>
            <w:r>
              <w:rPr/>
              <w:t>; and</w:t>
            </w:r>
          </w:p>
        </w:tc>
      </w:tr>
    </w:tbl>
    <w:p>
      <w:pPr>
        <w:pStyle w:val="TextBody"/>
        <w:bidi w:val="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our capital stock set forth in </w:t>
            </w:r>
            <w:hyperlink r:id="rId12">
              <w:r>
                <w:rPr>
                  <w:rStyle w:val="InternetLink"/>
                </w:rPr>
                <w:t>Exhibit 4.6</w:t>
              </w:r>
            </w:hyperlink>
            <w:r>
              <w:rPr/>
              <w:t xml:space="preserve"> of our Annual Report on Form 10-K for the year ended December 31, 2025, filed with the SEC on March 31, 2026, together with any amendments or reports filed for the purpose of updating such description.</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all or a portion of which is incorporated by reference, shall be modified or superseded for purposes of this prospectus to the extent that a statement contained in this prospectus, any applicable prospectus supplement and any related free writing prospectus or any document incorporated by reference modifies or supersedes such statement. Any such statement so modified or superseded shall not, except as so modified or superseded, constitute a part of this prospectus.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Greenidge Generation Holdings </w:t>
      </w:r>
      <w:r>
        <w:rPr>
          <w:rFonts w:ascii="Times New Roman;Times;Serif" w:hAnsi="Times New Roman;Times;Serif"/>
          <w:b w:val="false"/>
          <w:i w:val="false"/>
          <w:caps w:val="false"/>
          <w:smallCaps w:val="false"/>
          <w:spacing w:val="-4"/>
          <w:sz w:val="20"/>
        </w:rPr>
        <w:t>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Investor Relations </w:t>
      </w:r>
      <w:r>
        <w:rPr>
          <w:rFonts w:ascii="Times New Roman;Times;Serif" w:hAnsi="Times New Roman;Times;Serif"/>
          <w:b w:val="false"/>
          <w:i w:val="false"/>
          <w:caps w:val="false"/>
          <w:smallCaps w:val="false"/>
          <w:spacing w:val="-2"/>
          <w:sz w:val="20"/>
        </w:rPr>
        <w:t>1159 Pittsford-Victor Road, Suite 240</w:t>
      </w:r>
    </w:p>
    <w:p>
      <w:pPr>
        <w:pStyle w:val="TextBody"/>
        <w:bidi w:val="0"/>
        <w:jc w:val="center"/>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Pittsford, New York 14534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536-</w:t>
      </w:r>
      <w:r>
        <w:rPr>
          <w:rFonts w:ascii="Times New Roman;Times;Serif" w:hAnsi="Times New Roman;Times;Serif"/>
          <w:b w:val="false"/>
          <w:i w:val="false"/>
          <w:caps w:val="false"/>
          <w:smallCaps w:val="false"/>
          <w:spacing w:val="-4"/>
          <w:sz w:val="20"/>
        </w:rPr>
        <w:t>2359</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us is available at our website located at www.greenidge.com. Information contained on, or accessible through, our website is not a part of, and is not incorporated by reference into, this prospectus or any accompanying prospectus supplement.</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29</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44971/000184497126000011/gree-20251231.htm" TargetMode="External"/><Relationship Id="rId4" Type="http://schemas.openxmlformats.org/officeDocument/2006/relationships/hyperlink" Target="https://www.sec.gov/ix?doc=/Archives/edgar/data/0001844971/000119380526000547/e665412_def14a-greenidge.htm" TargetMode="External"/><Relationship Id="rId5" Type="http://schemas.openxmlformats.org/officeDocument/2006/relationships/hyperlink" Target="https://www.sec.gov/ix?doc=/Archives/edgar/data/0001844971/000162828026035547/gree-20260331.htm" TargetMode="External"/><Relationship Id="rId6" Type="http://schemas.openxmlformats.org/officeDocument/2006/relationships/hyperlink" Target="https://www.sec.gov/ix?doc=/Archives/edgar/data/1844971/000184497126000005/gree-20260304.htm" TargetMode="External"/><Relationship Id="rId7" Type="http://schemas.openxmlformats.org/officeDocument/2006/relationships/hyperlink" Target="https://www.sec.gov/ix?doc=/Archives/edgar/data/0001844971/000162828026024499/gree-20260409.htm" TargetMode="External"/><Relationship Id="rId8" Type="http://schemas.openxmlformats.org/officeDocument/2006/relationships/hyperlink" Target="https://www.sec.gov/ix?doc=/Archives/edgar/data/0001844971/000162828026025483/gree-20260415.htm" TargetMode="External"/><Relationship Id="rId9" Type="http://schemas.openxmlformats.org/officeDocument/2006/relationships/hyperlink" Target="https://www.sec.gov/ix?doc=/Archives/edgar/data/1844971/000162828026029106/gree-20260429.htm" TargetMode="External"/><Relationship Id="rId10" Type="http://schemas.openxmlformats.org/officeDocument/2006/relationships/hyperlink" Target="https://www.sec.gov/ix?doc=/Archives/edgar/data/0001844971/000162828026040773/gree-20260529.htm" TargetMode="External"/><Relationship Id="rId11" Type="http://schemas.openxmlformats.org/officeDocument/2006/relationships/hyperlink" Target="https://www.sec.gov/ix?doc=/Archives/edgar/data/0001844971/000162828026045495/gree-20260624.htm" TargetMode="External"/><Relationship Id="rId12" Type="http://schemas.openxmlformats.org/officeDocument/2006/relationships/hyperlink" Target="https://www.sec.gov/Archives/edgar/data/1844971/000184497126000011/gree-20251231xex46descript.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16784</Words>
  <Characters>87944</Characters>
  <CharactersWithSpaces>104547</CharactersWithSpaces>
  <Paragraphs>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