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20, 2022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Greenidge Generation Holdings Inc.</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001-40808</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86-1746728</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135 Rennell Drive</w:t>
      </w:r>
      <w:r>
        <w:rPr>
          <w:rFonts w:ascii="Arial" w:cs="Arial" w:eastAsia="Arial" w:hAnsi="Arial"/>
          <w:sz w:val="18"/>
          <w:szCs w:val="18"/>
          <w:b w:val="1"/>
          <w:bCs w:val="1"/>
          <w:color w:val="3051F2"/>
        </w:rPr>
        <w:t>,</w:t>
      </w:r>
      <w:r>
        <w:rPr>
          <w:rFonts w:ascii="Times New Roman" w:cs="Times New Roman" w:eastAsia="Times New Roman" w:hAnsi="Times New Roman"/>
          <w:sz w:val="18"/>
          <w:szCs w:val="18"/>
          <w:b w:val="1"/>
          <w:bCs w:val="1"/>
          <w:color w:val="auto"/>
        </w:rPr>
        <w:t xml:space="preserve"> 3rd Floor</w:t>
      </w:r>
    </w:p>
    <w:p>
      <w:pPr>
        <w:spacing w:after="0" w:line="32"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Fairfield, CT 06890</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(203) 718-5960</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type w:val="continuous"/>
        </w:sectPr>
      </w:pPr>
    </w:p>
    <w:p>
      <w:pPr>
        <w:spacing w:after="0" w:line="20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400" w:type="dxa"/>
        <w:tblCellMar>
          <w:top w:w="0" w:type="dxa"/>
          <w:left w:w="0" w:type="dxa"/>
          <w:bottom w:w="0" w:type="dxa"/>
          <w:right w:w="0" w:type="dxa"/>
        </w:tblCellMar>
      </w:tblPr>
      <w:tr>
        <w:trPr>
          <w:trHeight w:val="207"/>
        </w:trPr>
        <w:tc>
          <w:tcPr>
            <w:tcW w:w="8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1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8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56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w w:val="99"/>
              </w:rPr>
              <w:t>Class A common stock, par value $.0001</w:t>
            </w:r>
          </w:p>
        </w:tc>
        <w:tc>
          <w:tcPr>
            <w:tcW w:w="6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7"/>
              </w:rPr>
              <w:t>GREE</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83"/>
        </w:trPr>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 Senior Notes due</w:t>
            </w:r>
          </w:p>
        </w:tc>
        <w:tc>
          <w:tcPr>
            <w:tcW w:w="14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GREEL</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11" w:lineRule="exact"/>
        <w:rPr>
          <w:sz w:val="24"/>
          <w:szCs w:val="24"/>
          <w:color w:val="auto"/>
        </w:rPr>
      </w:pPr>
    </w:p>
    <w:p>
      <w:pPr>
        <w:ind w:right="2200"/>
        <w:spacing w:after="0" w:line="28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6"/>
          <w:szCs w:val="16"/>
          <w:color w:val="auto"/>
        </w:rPr>
        <w:t>☒</w:t>
      </w:r>
    </w:p>
    <w:p>
      <w:pPr>
        <w:spacing w:after="0" w:line="6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On December 20, 2022, Greenidge Generation Holdings Inc. (“Greenidge” or the “Company”) announced in a press release (the “Press Release”) updates to its secured debt renegotiations with NYDIG ABL LLC (“NYDIG”) and provided a liquidity update together with updated risk factors relating to the Company.</w:t>
      </w:r>
    </w:p>
    <w:p>
      <w:pPr>
        <w:spacing w:after="0" w:line="20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Secured Lender Non-Binding Term Sheet. </w:t>
      </w:r>
      <w:r>
        <w:rPr>
          <w:rFonts w:ascii="Times New Roman" w:cs="Times New Roman" w:eastAsia="Times New Roman" w:hAnsi="Times New Roman"/>
          <w:sz w:val="18"/>
          <w:szCs w:val="18"/>
          <w:color w:val="auto"/>
        </w:rPr>
        <w:t>The Company has entered into a non-binding term sheet (the “Term Sheet”) with NYDIG regarding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$74 million of debt whereby NYDIG would purchase miners with approximately 2.8 EH/s in exchange for a reduction of $57 to $68 million of secured debt that the Company has outstanding with NYDIG, among other terms. The Company has not reached a definitive agreement and may not reach any agreement on commercially acceptable terms or at all. Any change in the terms reflected in the Term Sheet could have a material adverse effect on the Company and its stockholders and could impact its ability to continue as a going concern, among other things.</w:t>
      </w:r>
    </w:p>
    <w:p>
      <w:pPr>
        <w:spacing w:after="0" w:line="213"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In addition, pursuant to the Term Sheet, the Company is contemplating concurrently entering into a hosting agreement whereby the Company would transfer miners to NYDIG and operate such miners on behalf of NYDIG pursuant to a hosting services agreement, which would result in a material change to the Company’s current business strategy and result in the Company largely operating miners owned by NYDIG, rather than operating miners owned by the Company.</w:t>
      </w:r>
    </w:p>
    <w:p>
      <w:pPr>
        <w:spacing w:after="0" w:line="20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Liquidity Update. </w:t>
      </w:r>
      <w:r>
        <w:rPr>
          <w:rFonts w:ascii="Times New Roman" w:cs="Times New Roman" w:eastAsia="Times New Roman" w:hAnsi="Times New Roman"/>
          <w:sz w:val="17"/>
          <w:szCs w:val="17"/>
          <w:color w:val="auto"/>
        </w:rPr>
        <w:t>The Company’s cash and cash equivalents and restricted cash as of November 30, 2022 amounted to approximately $22.0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$38.5 million as of September 30, 2022. This represents an average monthly cash burn rate of approximately $8 million during October and November 2022, of which approximately $5.5 million per month was associated with principal and interest payments to NYDIG. Further, the Company expects use a similar amount of cash during December 2022, dependent on timing of payments. It is very difficult to estimate liquidity requirements and future cash burn rates; however, the Company’s current cash burn rates are not sustainable. In the absence of additional liquidity, the Company is at risk of having insufficient cash to support ongoing business operations within the next two months. The Company continues to actively explore raising additional equity capital and to engage in discussions with lenders. In the event the Company determines that its potential sources of liquidity will not be available to it or will not allow it to meet its obligations as they become due, it will need to change course and pursue an in-court restructuring of its liabilities.</w:t>
      </w:r>
    </w:p>
    <w:p>
      <w:pPr>
        <w:spacing w:after="0" w:line="188"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Because there is substantial doubt about the Company’s ability to continue as a going concern and to manage its liabilities in light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operating environment, an investment in the Company’s common stock is highly speculative; holders of the Company’s common stock are highly likely to suffer a total loss of their investment if the Company is unable to restructure its debt and files, or is forced to file, for bankruptcy, and even if the agreement with NYDIG is finalized and bankruptcy is avoided, the Company’s prospects for operating a viable hosting business are uncertain. Additionally, the agreements governing the Company’s indebtedness contain covenants that may limit its ability to take advantage of certain business opportunities advantageous to the Company.</w:t>
      </w:r>
    </w:p>
    <w:p>
      <w:pPr>
        <w:spacing w:after="0" w:line="21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Release does not purport to be complete and is qualified in its entirety by reference to the full text of the Release, which is attached to this Current Report on Form 8-K as Exhibit 99.1, which is incorporated by reference herein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 Financial Statements and Exhibits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The following exhibits are being filed herewith:</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7620" w:type="dxa"/>
            <w:vAlign w:val="bottom"/>
            <w:gridSpan w:val="2"/>
          </w:tcPr>
          <w:p>
            <w:pPr>
              <w:spacing w:after="0"/>
              <w:rPr>
                <w:sz w:val="18"/>
                <w:szCs w:val="18"/>
                <w:color w:val="auto"/>
              </w:rPr>
            </w:pPr>
          </w:p>
        </w:tc>
      </w:tr>
      <w:tr>
        <w:trPr>
          <w:trHeight w:val="264"/>
        </w:trPr>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99.1</w:t>
            </w:r>
          </w:p>
        </w:tc>
        <w:tc>
          <w:tcPr>
            <w:tcW w:w="580" w:type="dxa"/>
            <w:vAlign w:val="bottom"/>
          </w:tcPr>
          <w:p>
            <w:pPr>
              <w:spacing w:after="0"/>
              <w:rPr>
                <w:sz w:val="22"/>
                <w:szCs w:val="22"/>
                <w:color w:val="auto"/>
              </w:rPr>
            </w:pPr>
          </w:p>
        </w:tc>
        <w:tc>
          <w:tcPr>
            <w:tcW w:w="29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Press Release, dated December 20, 2022</w:t>
            </w:r>
          </w:p>
        </w:tc>
        <w:tc>
          <w:tcPr>
            <w:tcW w:w="6840" w:type="dxa"/>
            <w:vAlign w:val="bottom"/>
          </w:tcPr>
          <w:p>
            <w:pPr>
              <w:spacing w:after="0"/>
              <w:rPr>
                <w:sz w:val="22"/>
                <w:szCs w:val="22"/>
                <w:color w:val="auto"/>
              </w:rPr>
            </w:pPr>
          </w:p>
        </w:tc>
      </w:tr>
      <w:tr>
        <w:trPr>
          <w:trHeight w:val="304"/>
        </w:trPr>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4"/>
                <w:szCs w:val="24"/>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316"/>
        </w:trPr>
        <w:tc>
          <w:tcPr>
            <w:tcW w:w="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 on this 20th day of December, 2022.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Greenidge Generation Holdings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55"/>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Loughran</w:t>
            </w:r>
          </w:p>
        </w:tc>
      </w:tr>
      <w:tr>
        <w:trPr>
          <w:trHeight w:val="24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Robert Loughran</w:t>
            </w:r>
          </w:p>
        </w:tc>
      </w:tr>
      <w:tr>
        <w:trPr>
          <w:trHeight w:val="27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bl>
    <w:p>
      <w:pPr>
        <w:sectPr>
          <w:pgSz w:w="11900" w:h="16838" w:orient="portrait"/>
          <w:cols w:equalWidth="0" w:num="1">
            <w:col w:w="11240"/>
          </w:cols>
          <w:pgMar w:left="320" w:top="1089"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3175</wp:posOffset>
            </wp:positionV>
            <wp:extent cx="3128645" cy="694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2864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left="340" w:right="220"/>
        <w:spacing w:after="0" w:line="272" w:lineRule="auto"/>
        <w:rPr>
          <w:sz w:val="20"/>
          <w:szCs w:val="20"/>
          <w:color w:val="auto"/>
        </w:rPr>
      </w:pPr>
      <w:r>
        <w:rPr>
          <w:rFonts w:ascii="Calibri" w:cs="Calibri" w:eastAsia="Calibri" w:hAnsi="Calibri"/>
          <w:sz w:val="25"/>
          <w:szCs w:val="25"/>
          <w:color w:val="auto"/>
        </w:rPr>
        <w:t>Greenidge Generaton Executes Term Sheet with Secured Lender NYDIG Regarding Debt Renegotatons; Provides Liquidity Update</w:t>
      </w:r>
    </w:p>
    <w:p>
      <w:pPr>
        <w:spacing w:after="0" w:line="8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Lender Negotatons Update</w:t>
      </w:r>
    </w:p>
    <w:p>
      <w:pPr>
        <w:spacing w:after="0" w:line="74"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Calibri" w:cs="Calibri" w:eastAsia="Calibri" w:hAnsi="Calibri"/>
          <w:sz w:val="18"/>
          <w:szCs w:val="18"/>
          <w:color w:val="auto"/>
        </w:rPr>
        <w:t>Entered into a non-binding term sheet with NYDIG regarding approximately $74 million of debt contemplatng the following terms:</w:t>
      </w:r>
    </w:p>
    <w:p>
      <w:pPr>
        <w:ind w:left="1300" w:hanging="320"/>
        <w:spacing w:after="0" w:line="190" w:lineRule="auto"/>
        <w:tabs>
          <w:tab w:leader="none" w:pos="1300" w:val="left"/>
        </w:tabs>
        <w:numPr>
          <w:ilvl w:val="1"/>
          <w:numId w:val="2"/>
        </w:numPr>
        <w:rPr>
          <w:rFonts w:ascii="Courier New" w:cs="Courier New" w:eastAsia="Courier New" w:hAnsi="Courier New"/>
          <w:sz w:val="18"/>
          <w:szCs w:val="18"/>
          <w:color w:val="auto"/>
        </w:rPr>
      </w:pPr>
      <w:r>
        <w:rPr>
          <w:rFonts w:ascii="Calibri" w:cs="Calibri" w:eastAsia="Calibri" w:hAnsi="Calibri"/>
          <w:sz w:val="18"/>
          <w:szCs w:val="18"/>
          <w:color w:val="auto"/>
        </w:rPr>
        <w:t>NYDIG would purchase miners with approximately 2.8 EH/s of mining capacity</w:t>
      </w:r>
    </w:p>
    <w:p>
      <w:pPr>
        <w:spacing w:after="0" w:line="10" w:lineRule="exact"/>
        <w:rPr>
          <w:rFonts w:ascii="Courier New" w:cs="Courier New" w:eastAsia="Courier New" w:hAnsi="Courier New"/>
          <w:sz w:val="18"/>
          <w:szCs w:val="18"/>
          <w:color w:val="auto"/>
        </w:rPr>
      </w:pPr>
    </w:p>
    <w:p>
      <w:pPr>
        <w:ind w:left="1300" w:right="300" w:hanging="320"/>
        <w:spacing w:after="0" w:line="191" w:lineRule="auto"/>
        <w:tabs>
          <w:tab w:leader="none" w:pos="1297" w:val="left"/>
        </w:tabs>
        <w:numPr>
          <w:ilvl w:val="1"/>
          <w:numId w:val="2"/>
        </w:numPr>
        <w:rPr>
          <w:rFonts w:ascii="Courier New" w:cs="Courier New" w:eastAsia="Courier New" w:hAnsi="Courier New"/>
          <w:sz w:val="18"/>
          <w:szCs w:val="18"/>
          <w:color w:val="auto"/>
        </w:rPr>
      </w:pPr>
      <w:r>
        <w:rPr>
          <w:rFonts w:ascii="Calibri" w:cs="Calibri" w:eastAsia="Calibri" w:hAnsi="Calibri"/>
          <w:sz w:val="18"/>
          <w:szCs w:val="18"/>
          <w:color w:val="auto"/>
        </w:rPr>
        <w:t>Greenidge would enter into a hostng agreement with NYDIG for approximately 2.8 EH/s of mining capacity, which would result in a material change to Greenidge’s current business strategy and result in Greenidge largely operatng miners owned by NYDIG, rather than operatng miners owned by Greenidge</w:t>
      </w:r>
    </w:p>
    <w:p>
      <w:pPr>
        <w:ind w:left="1300" w:right="300" w:hanging="320"/>
        <w:spacing w:after="0" w:line="193" w:lineRule="auto"/>
        <w:tabs>
          <w:tab w:leader="none" w:pos="1297" w:val="left"/>
        </w:tabs>
        <w:numPr>
          <w:ilvl w:val="1"/>
          <w:numId w:val="2"/>
        </w:numPr>
        <w:rPr>
          <w:rFonts w:ascii="Courier New" w:cs="Courier New" w:eastAsia="Courier New" w:hAnsi="Courier New"/>
          <w:sz w:val="18"/>
          <w:szCs w:val="18"/>
          <w:color w:val="auto"/>
        </w:rPr>
      </w:pPr>
      <w:r>
        <w:rPr>
          <w:rFonts w:ascii="Calibri" w:cs="Calibri" w:eastAsia="Calibri" w:hAnsi="Calibri"/>
          <w:sz w:val="18"/>
          <w:szCs w:val="18"/>
          <w:color w:val="auto"/>
        </w:rPr>
        <w:t>Greenidge may transfer certain credits, coupons and additonal assets to NYDIG, including mining infrastructure awaitng deployment at potental mining sites, contngent upon Greenidge facilitatng for NYDIG rights to a mining site within three months following the completon of debt restructuring and hostng agreements</w:t>
      </w:r>
    </w:p>
    <w:p>
      <w:pPr>
        <w:spacing w:after="0" w:line="1" w:lineRule="exact"/>
        <w:rPr>
          <w:rFonts w:ascii="Courier New" w:cs="Courier New" w:eastAsia="Courier New" w:hAnsi="Courier New"/>
          <w:sz w:val="18"/>
          <w:szCs w:val="18"/>
          <w:color w:val="auto"/>
        </w:rPr>
      </w:pPr>
    </w:p>
    <w:p>
      <w:pPr>
        <w:ind w:left="1300" w:right="420" w:hanging="320"/>
        <w:spacing w:after="0" w:line="196" w:lineRule="auto"/>
        <w:tabs>
          <w:tab w:leader="none" w:pos="1297" w:val="left"/>
        </w:tabs>
        <w:numPr>
          <w:ilvl w:val="1"/>
          <w:numId w:val="2"/>
        </w:numPr>
        <w:rPr>
          <w:rFonts w:ascii="Courier New" w:cs="Courier New" w:eastAsia="Courier New" w:hAnsi="Courier New"/>
          <w:sz w:val="18"/>
          <w:szCs w:val="18"/>
          <w:color w:val="auto"/>
        </w:rPr>
      </w:pPr>
      <w:r>
        <w:rPr>
          <w:rFonts w:ascii="Calibri" w:cs="Calibri" w:eastAsia="Calibri" w:hAnsi="Calibri"/>
          <w:sz w:val="18"/>
          <w:szCs w:val="18"/>
          <w:color w:val="auto"/>
        </w:rPr>
        <w:t>In exchange for the purchased miners and transfer of mining infrastructure and credits to NYDIG, NYDIG would agree to a reducton of approximately $57 to $68 million of debt</w:t>
      </w:r>
    </w:p>
    <w:p>
      <w:pPr>
        <w:ind w:left="1300" w:hanging="320"/>
        <w:spacing w:after="0" w:line="186" w:lineRule="auto"/>
        <w:tabs>
          <w:tab w:leader="none" w:pos="1300" w:val="left"/>
        </w:tabs>
        <w:numPr>
          <w:ilvl w:val="1"/>
          <w:numId w:val="2"/>
        </w:numPr>
        <w:rPr>
          <w:rFonts w:ascii="Courier New" w:cs="Courier New" w:eastAsia="Courier New" w:hAnsi="Courier New"/>
          <w:sz w:val="18"/>
          <w:szCs w:val="18"/>
          <w:color w:val="auto"/>
        </w:rPr>
      </w:pPr>
      <w:r>
        <w:rPr>
          <w:rFonts w:ascii="Calibri" w:cs="Calibri" w:eastAsia="Calibri" w:hAnsi="Calibri"/>
          <w:sz w:val="18"/>
          <w:szCs w:val="18"/>
          <w:color w:val="auto"/>
        </w:rPr>
        <w:t>Greenidge will be pledging substantally all of its unencumbered assets to NYDIG to secure the remaining balance of the loan</w:t>
      </w:r>
    </w:p>
    <w:p>
      <w:pPr>
        <w:ind w:left="1300" w:hanging="320"/>
        <w:spacing w:after="0" w:line="190" w:lineRule="auto"/>
        <w:tabs>
          <w:tab w:leader="none" w:pos="1300" w:val="left"/>
        </w:tabs>
        <w:numPr>
          <w:ilvl w:val="1"/>
          <w:numId w:val="2"/>
        </w:numPr>
        <w:rPr>
          <w:rFonts w:ascii="Courier New" w:cs="Courier New" w:eastAsia="Courier New" w:hAnsi="Courier New"/>
          <w:sz w:val="18"/>
          <w:szCs w:val="18"/>
          <w:color w:val="auto"/>
        </w:rPr>
      </w:pPr>
      <w:r>
        <w:rPr>
          <w:rFonts w:ascii="Calibri" w:cs="Calibri" w:eastAsia="Calibri" w:hAnsi="Calibri"/>
          <w:sz w:val="18"/>
          <w:szCs w:val="18"/>
          <w:color w:val="auto"/>
        </w:rPr>
        <w:t>Greenidge would retain ownership of miners with a capacity of 1.2 EH/s</w:t>
      </w:r>
    </w:p>
    <w:p>
      <w:pPr>
        <w:spacing w:after="0" w:line="24" w:lineRule="exact"/>
        <w:rPr>
          <w:rFonts w:ascii="Courier New" w:cs="Courier New" w:eastAsia="Courier New" w:hAnsi="Courier New"/>
          <w:sz w:val="18"/>
          <w:szCs w:val="18"/>
          <w:color w:val="auto"/>
        </w:rPr>
      </w:pPr>
    </w:p>
    <w:p>
      <w:pPr>
        <w:ind w:left="660" w:right="200" w:hanging="328"/>
        <w:spacing w:after="0" w:line="196" w:lineRule="auto"/>
        <w:tabs>
          <w:tab w:leader="none" w:pos="655" w:val="left"/>
        </w:tabs>
        <w:numPr>
          <w:ilvl w:val="0"/>
          <w:numId w:val="2"/>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change in the terms refected in this non-binding term sheet could have a material adverse efect on Greenidge and its stockholders and could further impact its liquidity and its ability to contnue as a going concern. For additonal informaton related to the NYDIG negotatons and Greenidge’s liquidity update, certain additonal risk factors are included herein that should be read in additon to those already provided in Greenidge’s public flings</w:t>
      </w:r>
    </w:p>
    <w:p>
      <w:pPr>
        <w:spacing w:after="0" w:line="6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Liquidity Update</w:t>
      </w:r>
    </w:p>
    <w:p>
      <w:pPr>
        <w:spacing w:after="0" w:line="7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There remains uncertainty regarding Greenidge’s fnancial conditon and substantal doubt about its ability to contnue as a going concern</w:t>
      </w:r>
    </w:p>
    <w:p>
      <w:pPr>
        <w:spacing w:after="0" w:line="10" w:lineRule="exact"/>
        <w:rPr>
          <w:rFonts w:ascii="Times New Roman" w:cs="Times New Roman" w:eastAsia="Times New Roman" w:hAnsi="Times New Roman"/>
          <w:sz w:val="18"/>
          <w:szCs w:val="18"/>
          <w:color w:val="auto"/>
        </w:rPr>
      </w:pPr>
    </w:p>
    <w:p>
      <w:pPr>
        <w:jc w:val="both"/>
        <w:ind w:left="660" w:right="360" w:hanging="328"/>
        <w:spacing w:after="0" w:line="197" w:lineRule="auto"/>
        <w:tabs>
          <w:tab w:leader="none" w:pos="655"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Company’s average monthly cash burn rate during October and November 2022 was approximately $8 million, of which approximately $5.5 million per month was associated with principal and interest payments to NYDIG. Further, the Company expects to have a similar cash burn, and similar payments to NYDIG, during December 2022</w:t>
      </w:r>
    </w:p>
    <w:p>
      <w:pPr>
        <w:spacing w:after="0" w:line="2" w:lineRule="exact"/>
        <w:rPr>
          <w:rFonts w:ascii="Times New Roman" w:cs="Times New Roman" w:eastAsia="Times New Roman" w:hAnsi="Times New Roman"/>
          <w:sz w:val="18"/>
          <w:szCs w:val="18"/>
          <w:color w:val="auto"/>
        </w:rPr>
      </w:pPr>
    </w:p>
    <w:p>
      <w:pPr>
        <w:ind w:left="660" w:right="100" w:hanging="328"/>
        <w:spacing w:after="0" w:line="206" w:lineRule="auto"/>
        <w:tabs>
          <w:tab w:leader="none" w:pos="655"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There is a substantal likelihood that Greenidge’s independent auditors’ opinion will refect a going concern qualifcaton in their audit report for the 2022 fnancial statements</w:t>
      </w:r>
    </w:p>
    <w:p>
      <w:pPr>
        <w:ind w:left="660" w:right="20" w:hanging="328"/>
        <w:spacing w:after="0" w:line="201" w:lineRule="auto"/>
        <w:tabs>
          <w:tab w:leader="none" w:pos="655"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Greenidge’s board of directors has engaged in actve discussions about the potental for, and tming of, a voluntary bankruptcy fling in the event that: (1) Greenidge determines that potental sources of liquidity will not be available to it; (2) Greenidge’s remaining available capital does not allow it to meet its obligatons as they become due; or (3) Greenidge defaults on any of its material contracts or indebtedness</w:t>
      </w:r>
    </w:p>
    <w:p>
      <w:pPr>
        <w:spacing w:after="0" w:line="1" w:lineRule="exact"/>
        <w:rPr>
          <w:rFonts w:ascii="Times New Roman" w:cs="Times New Roman" w:eastAsia="Times New Roman" w:hAnsi="Times New Roman"/>
          <w:sz w:val="18"/>
          <w:szCs w:val="18"/>
          <w:color w:val="auto"/>
        </w:rPr>
      </w:pPr>
    </w:p>
    <w:p>
      <w:pPr>
        <w:ind w:left="660" w:hanging="328"/>
        <w:spacing w:after="0" w:line="206" w:lineRule="auto"/>
        <w:tabs>
          <w:tab w:leader="none" w:pos="66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Company contnues to actvely explore raising additonal equity capital and to engage in discussions with its lenders</w:t>
      </w:r>
    </w:p>
    <w:p>
      <w:pPr>
        <w:spacing w:after="0" w:line="10" w:lineRule="exact"/>
        <w:rPr>
          <w:rFonts w:ascii="Times New Roman" w:cs="Times New Roman" w:eastAsia="Times New Roman" w:hAnsi="Times New Roman"/>
          <w:sz w:val="18"/>
          <w:szCs w:val="18"/>
          <w:color w:val="auto"/>
        </w:rPr>
      </w:pPr>
    </w:p>
    <w:p>
      <w:pPr>
        <w:ind w:left="660" w:right="20" w:hanging="328"/>
        <w:spacing w:after="0" w:line="200" w:lineRule="auto"/>
        <w:tabs>
          <w:tab w:leader="none" w:pos="655"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Company is considering various alternatves in connecton with its wholly owned subsidiary, Support.com, including the dispositon of assets and other transactons</w:t>
      </w:r>
    </w:p>
    <w:p>
      <w:pPr>
        <w:spacing w:after="0" w:line="70" w:lineRule="exact"/>
        <w:rPr>
          <w:sz w:val="20"/>
          <w:szCs w:val="20"/>
          <w:color w:val="auto"/>
        </w:rPr>
      </w:pPr>
    </w:p>
    <w:p>
      <w:pPr>
        <w:ind w:right="220"/>
        <w:spacing w:after="0" w:line="203" w:lineRule="auto"/>
        <w:rPr>
          <w:sz w:val="20"/>
          <w:szCs w:val="20"/>
          <w:color w:val="auto"/>
        </w:rPr>
      </w:pPr>
      <w:r>
        <w:rPr>
          <w:rFonts w:ascii="Calibri" w:cs="Calibri" w:eastAsia="Calibri" w:hAnsi="Calibri"/>
          <w:sz w:val="18"/>
          <w:szCs w:val="18"/>
          <w:b w:val="1"/>
          <w:bCs w:val="1"/>
          <w:i w:val="1"/>
          <w:iCs w:val="1"/>
          <w:color w:val="auto"/>
        </w:rPr>
        <w:t>NYDIG and Greenidge will endeavor to enter into defnitve documentaton refectng the terms described in this release, but there can be no assurances made that such terms will not change materially nor can there be any assurances made that the transactons discussed in this release will be consummated. There can be no assurances made that Greenidge will be successful in facilitatng for the securing of rights to a mining site within three months of completon of the debt restructuring agreements. There are certain third-party consents and other conditons to closing that are required in order for Greenidge to enter into defnitve documentaton and there can be no assurance that such third party consents can be obtained or conditons satsfed.</w:t>
      </w:r>
    </w:p>
    <w:p>
      <w:pPr>
        <w:spacing w:after="0" w:line="140" w:lineRule="exact"/>
        <w:rPr>
          <w:sz w:val="20"/>
          <w:szCs w:val="20"/>
          <w:color w:val="auto"/>
        </w:rPr>
      </w:pPr>
    </w:p>
    <w:p>
      <w:pPr>
        <w:ind w:right="560"/>
        <w:spacing w:after="0" w:line="210" w:lineRule="auto"/>
        <w:rPr>
          <w:sz w:val="20"/>
          <w:szCs w:val="20"/>
          <w:color w:val="auto"/>
        </w:rPr>
      </w:pPr>
      <w:r>
        <w:rPr>
          <w:rFonts w:ascii="Calibri" w:cs="Calibri" w:eastAsia="Calibri" w:hAnsi="Calibri"/>
          <w:sz w:val="18"/>
          <w:szCs w:val="18"/>
          <w:b w:val="1"/>
          <w:bCs w:val="1"/>
          <w:color w:val="auto"/>
        </w:rPr>
        <w:t xml:space="preserve">Fairfeld, Conn. – December 20, 2022 – </w:t>
      </w:r>
      <w:r>
        <w:rPr>
          <w:rFonts w:ascii="Calibri" w:cs="Calibri" w:eastAsia="Calibri" w:hAnsi="Calibri"/>
          <w:sz w:val="18"/>
          <w:szCs w:val="18"/>
          <w:color w:val="auto"/>
        </w:rPr>
        <w:t>Greenidge Generaton Holdings Inc. (NASDAQ: GREE) (“Greenidge” or the “Company”), a vertcally integrated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cryptocurrency datacenter and power generaton company, today provided an update on important proposed steps towards restructuring a signifcant porton of its debt with NYDIG ABL LLC (“NYDIG”).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341" w:right="339" w:bottom="1440" w:gutter="0" w:footer="0" w:header="0"/>
        </w:sectPr>
      </w:pPr>
    </w:p>
    <w:bookmarkStart w:id="4" w:name="page5"/>
    <w:bookmarkEnd w:id="4"/>
    <w:p>
      <w:pPr>
        <w:ind w:right="100"/>
        <w:spacing w:after="0" w:line="203" w:lineRule="auto"/>
        <w:rPr>
          <w:sz w:val="20"/>
          <w:szCs w:val="20"/>
          <w:color w:val="auto"/>
        </w:rPr>
      </w:pPr>
      <w:r>
        <w:rPr>
          <w:rFonts w:ascii="Calibri" w:cs="Calibri" w:eastAsia="Calibri" w:hAnsi="Calibri"/>
          <w:sz w:val="18"/>
          <w:szCs w:val="18"/>
          <w:color w:val="auto"/>
        </w:rPr>
        <w:t>“We are pleased with the progress of our constructve negotatons with NYDIG to address our secured debt,” said Dave Anderson, Chief Executve Ofcer of Greenidge. “NYDIG values our operatonal excellence, which afords us the ability to work towards a structure that would allow our two organizatons to partner, with Greenidge providing hostng services. If we complete this debt restructuring, this would improve our future liquidity and would provide a signifcant step toward the improvement of our balance sheet. In additon, we believe that the contemplated terms of a concurrently executed hostng arrangement would allow us to contnue partcipatng in the future upside potental of bitcoin.”</w:t>
      </w:r>
    </w:p>
    <w:p>
      <w:pPr>
        <w:spacing w:after="0" w:line="218" w:lineRule="exact"/>
        <w:rPr>
          <w:sz w:val="20"/>
          <w:szCs w:val="20"/>
          <w:color w:val="auto"/>
        </w:rPr>
      </w:pPr>
    </w:p>
    <w:p>
      <w:pPr>
        <w:ind w:right="100"/>
        <w:spacing w:after="0" w:line="206" w:lineRule="auto"/>
        <w:rPr>
          <w:sz w:val="20"/>
          <w:szCs w:val="20"/>
          <w:color w:val="auto"/>
        </w:rPr>
      </w:pPr>
      <w:r>
        <w:rPr>
          <w:rFonts w:ascii="Calibri" w:cs="Calibri" w:eastAsia="Calibri" w:hAnsi="Calibri"/>
          <w:sz w:val="18"/>
          <w:szCs w:val="18"/>
          <w:color w:val="auto"/>
        </w:rPr>
        <w:t>“We are pleased to contnue working with Greenidge,” said Trevor Smyth, Head of Structured Financing at NYDIG. “As the company optmizes to account for current market conditons, we look forward to working together on potental future strategic opportunites and remain strident believers in the ongoing promise of bitcoin.”</w:t>
      </w:r>
    </w:p>
    <w:p>
      <w:pPr>
        <w:spacing w:after="0" w:line="217" w:lineRule="exact"/>
        <w:rPr>
          <w:sz w:val="20"/>
          <w:szCs w:val="20"/>
          <w:color w:val="auto"/>
        </w:rPr>
      </w:pPr>
    </w:p>
    <w:p>
      <w:pPr>
        <w:ind w:right="40"/>
        <w:spacing w:after="0" w:line="201" w:lineRule="auto"/>
        <w:rPr>
          <w:sz w:val="20"/>
          <w:szCs w:val="20"/>
          <w:color w:val="auto"/>
        </w:rPr>
      </w:pPr>
      <w:r>
        <w:rPr>
          <w:rFonts w:ascii="Calibri" w:cs="Calibri" w:eastAsia="Calibri" w:hAnsi="Calibri"/>
          <w:sz w:val="18"/>
          <w:szCs w:val="18"/>
          <w:color w:val="auto"/>
        </w:rPr>
        <w:t>On December 19, 2022, Greenidge entered into a non-binding term sheet (“Term Sheet”) with NYDIG to potentally restructure its approximately $74 million of debt remaining with NYDIG under the Master Equipment Finance Agreements dated as of May 25, 2021 and March 21, 2022. Under the Term Sheet, it is contemplated that Greenidge would reduce its debt by approximately $57 to $68 million in exchange for a substantal number of its miners, transfer credits and coupons that have accrued to Greenidge under its non-fxed price purchase contracts with Bitmain Technologies, Ltd. and transfer Greenidge’s acquired mining infrastructure awaitng deployment at potental mining sites within three months following the completon of debt restructuring and hostng agreements (the “Post-Closing Covenant”).</w:t>
      </w:r>
    </w:p>
    <w:p>
      <w:pPr>
        <w:spacing w:after="0" w:line="219" w:lineRule="exact"/>
        <w:rPr>
          <w:sz w:val="20"/>
          <w:szCs w:val="20"/>
          <w:color w:val="auto"/>
        </w:rPr>
      </w:pPr>
    </w:p>
    <w:p>
      <w:pPr>
        <w:ind w:right="80"/>
        <w:spacing w:after="0" w:line="203" w:lineRule="auto"/>
        <w:rPr>
          <w:sz w:val="20"/>
          <w:szCs w:val="20"/>
          <w:color w:val="auto"/>
        </w:rPr>
      </w:pPr>
      <w:r>
        <w:rPr>
          <w:rFonts w:ascii="Calibri" w:cs="Calibri" w:eastAsia="Calibri" w:hAnsi="Calibri"/>
          <w:sz w:val="18"/>
          <w:szCs w:val="18"/>
          <w:color w:val="auto"/>
        </w:rPr>
        <w:t>Pursuant to the Term Sheet, Greenidge would provide additonal collateral on its remaining mining-related assets, infrastructure assets, equity of its subsidiaries and certain cash balances to secure the remaining debt balance with NYDIG, which may have a balance of between $6 million to $17 million based on satsfactory transfer of assets to NYDIG and completon of the Post-Closing Covenant. The loan agreement will contain certain afrmatve, negatve and fnancial covenants, early amortzaton events, and events of default. In the event of a default, NYDIG will have the right to foreclose or take other legal acton against Greenidge and such collateral.</w:t>
      </w:r>
    </w:p>
    <w:p>
      <w:pPr>
        <w:spacing w:after="0" w:line="205" w:lineRule="exact"/>
        <w:rPr>
          <w:sz w:val="20"/>
          <w:szCs w:val="20"/>
          <w:color w:val="auto"/>
        </w:rPr>
      </w:pPr>
    </w:p>
    <w:p>
      <w:pPr>
        <w:ind w:right="40"/>
        <w:spacing w:after="0" w:line="200" w:lineRule="auto"/>
        <w:rPr>
          <w:sz w:val="20"/>
          <w:szCs w:val="20"/>
          <w:color w:val="auto"/>
        </w:rPr>
      </w:pPr>
      <w:r>
        <w:rPr>
          <w:rFonts w:ascii="Calibri" w:cs="Calibri" w:eastAsia="Calibri" w:hAnsi="Calibri"/>
          <w:sz w:val="18"/>
          <w:szCs w:val="18"/>
          <w:color w:val="auto"/>
        </w:rPr>
        <w:t>Under the Term Sheet, Greenidge and NYDIG would concurrently enter into a long-term hostng agreement, whereby Greenidge would provide hostng services for up to 74 Megawats (“MW”) of energy capacity, as well as an additonal approximate 39 MW upon satsfactory completon of the Post-Closing Covenant. The terms of such arrangement would require NYDIG to pay a hostng fee that would cover the cost of power and direct costs associated with management of the mining facilites, as well as a proft-sharing arrangement of gross profts. Excluding revenues from its wholly owned subsidiary Support.com (“Support.com”) that has been reported as the Support services segment, approximately 90% and 83% of Greenidge’s revenues for fscal 2021 and nine months ended September 30, 2022, respectvely, were generated through its mining of bitcoin. If the contemplated transactons are consummated, Greenidge estmates that 60% to 75% of its likely revenues in the next two years will be generated from the hostng agreements to be entered into with NYDIG, assuming similar revenues from power and capacity as fscal 2021 and annualized 2022 based of nine months results. As a result of Greenidge entering into the hostng agreements, a near-term increase in bitcoin prices, even a signifcant one, may not have a corresponding benefcial impact on Greenidge’s business, liquidity or prospects.</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Liquidity Update</w:t>
      </w:r>
    </w:p>
    <w:p>
      <w:pPr>
        <w:spacing w:after="0" w:line="204" w:lineRule="exact"/>
        <w:rPr>
          <w:sz w:val="20"/>
          <w:szCs w:val="20"/>
          <w:color w:val="auto"/>
        </w:rPr>
      </w:pPr>
    </w:p>
    <w:p>
      <w:pPr>
        <w:ind w:right="40"/>
        <w:spacing w:after="0" w:line="202" w:lineRule="auto"/>
        <w:rPr>
          <w:sz w:val="20"/>
          <w:szCs w:val="20"/>
          <w:color w:val="auto"/>
        </w:rPr>
      </w:pPr>
      <w:r>
        <w:rPr>
          <w:rFonts w:ascii="Calibri" w:cs="Calibri" w:eastAsia="Calibri" w:hAnsi="Calibri"/>
          <w:sz w:val="18"/>
          <w:szCs w:val="18"/>
          <w:color w:val="auto"/>
        </w:rPr>
        <w:t>The Company’s cash and cash equivalents and restricted cash as of November 30, 2022 amounted to approximately $22.0 million, compared to $38.5 million as of September 30, 2022. This represents an average monthly cash burn rate of approximately $8 million during October and November 2022, of which approximately $5.5 million per month was associated with principal and interest payments to NYDIG. Further, the Company expects to use a similar amount of cash during the month of December 2022, dependent on tming of payments. It is very difcult to estmate liquidity requirements and future cash burn rates; however, the Company’s current cash burn rates are not sustainable.</w:t>
      </w:r>
    </w:p>
    <w:p>
      <w:pPr>
        <w:spacing w:after="0" w:line="2" w:lineRule="exact"/>
        <w:rPr>
          <w:sz w:val="20"/>
          <w:szCs w:val="20"/>
          <w:color w:val="auto"/>
        </w:rPr>
      </w:pPr>
    </w:p>
    <w:p>
      <w:pPr>
        <w:spacing w:after="0" w:line="197" w:lineRule="auto"/>
        <w:rPr>
          <w:sz w:val="20"/>
          <w:szCs w:val="20"/>
          <w:color w:val="auto"/>
        </w:rPr>
      </w:pPr>
      <w:r>
        <w:rPr>
          <w:rFonts w:ascii="Calibri" w:cs="Calibri" w:eastAsia="Calibri" w:hAnsi="Calibri"/>
          <w:sz w:val="18"/>
          <w:szCs w:val="18"/>
          <w:color w:val="auto"/>
        </w:rPr>
        <w:t>In the absence of additonal liquidity, the Company is at risk of having insufcient cash to support ongoing business operatons within the next two months. Assuming NYDIG and Greenidge enter into defnitve agreements refectng the terms described in this release, to remain viable through 2023, the Company currently estmates it will require at least approximately $20 million of additonal liquidity to fund its cash requirements, although this estmate is subject to a number of assumptons and may vary materially. The Company stated in its Quarterly Report on Form 10-Q for the nine months ended September 30, 2022 that there is uncertainty regarding the Company’s fnancial conditon and substantal doubt about its ability to contnue as a going concern. There is substantal likelihood that the Company’s independent auditors’ opinion for the 2022 fnancial statements will refect a going concern qualifcaton. While the proposed transacton described herein addresses a porton of the Company’s indebtedness, the fnancial terms of this potental transacton on the terms currently contemplated in the Term Sheet do not change the risks previously identfed in the Company’s public flings and herein. As a result, the Company contnues to actvely explore raising additonal equity capital, including selling securites in the market</w:t>
      </w:r>
    </w:p>
    <w:p>
      <w:pPr>
        <w:sectPr>
          <w:pgSz w:w="11900" w:h="16838" w:orient="portrait"/>
          <w:cols w:equalWidth="0" w:num="1">
            <w:col w:w="11180"/>
          </w:cols>
          <w:pgMar w:left="320" w:top="1400" w:right="399" w:bottom="1440" w:gutter="0" w:footer="0" w:header="0"/>
        </w:sectPr>
      </w:pPr>
    </w:p>
    <w:bookmarkStart w:id="5" w:name="page6"/>
    <w:bookmarkEnd w:id="5"/>
    <w:p>
      <w:pPr>
        <w:ind w:right="60"/>
        <w:spacing w:after="0" w:line="212" w:lineRule="auto"/>
        <w:rPr>
          <w:sz w:val="20"/>
          <w:szCs w:val="20"/>
          <w:color w:val="auto"/>
        </w:rPr>
      </w:pPr>
      <w:r>
        <w:rPr>
          <w:rFonts w:ascii="Calibri" w:cs="Calibri" w:eastAsia="Calibri" w:hAnsi="Calibri"/>
          <w:sz w:val="17"/>
          <w:szCs w:val="17"/>
          <w:color w:val="auto"/>
        </w:rPr>
        <w:t>pursuant to its at-the-market equity program, and to engage in discussions with lenders. In additon, the Company is considering various alternatves in connecton with Support.com, including the dispositon of assets and other transactons, to further reduce its expenses. There can be no assurances that any additonal equity fnancing will be available to the Company on favorable terms, or potentally at all</w:t>
      </w:r>
      <w:r>
        <w:rPr>
          <w:rFonts w:ascii="Calibri" w:cs="Calibri" w:eastAsia="Calibri" w:hAnsi="Calibri"/>
          <w:sz w:val="17"/>
          <w:szCs w:val="17"/>
          <w:b w:val="1"/>
          <w:bCs w:val="1"/>
          <w:color w:val="auto"/>
        </w:rPr>
        <w:t>.</w:t>
      </w:r>
      <w:r>
        <w:rPr>
          <w:rFonts w:ascii="Calibri" w:cs="Calibri" w:eastAsia="Calibri" w:hAnsi="Calibri"/>
          <w:sz w:val="17"/>
          <w:szCs w:val="17"/>
          <w:color w:val="auto"/>
        </w:rPr>
        <w:t xml:space="preserve"> Greenidge’s board of directors has engaged in actve discussions about the potental for a voluntary bankruptcy fling in the event that: (1) Greenidge determines that potental sources of liquidity will not be available to it; (2) Greenidge’s remaining available capital does not allow it to meet its obligatons as they become due; or (3) Greenidge defaults on any of its material contracts or indebtedness. In the event the Company determines that its potental sources of liquidity will not be available to it or will not allow it to meet its obligatons as they become due, it will need to change course and pursue an in-court restructuring of its liabilites. The Company expects to contnue to incur net losses, comprehensive losses, and negatve cash fows from operatng actvites in accordance with its operatng plan.</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Additonal Risk Factors</w:t>
      </w:r>
    </w:p>
    <w:p>
      <w:pPr>
        <w:spacing w:after="0" w:line="204" w:lineRule="exact"/>
        <w:rPr>
          <w:sz w:val="20"/>
          <w:szCs w:val="20"/>
          <w:color w:val="auto"/>
        </w:rPr>
      </w:pPr>
    </w:p>
    <w:p>
      <w:pPr>
        <w:ind w:right="80"/>
        <w:spacing w:after="0" w:line="203" w:lineRule="auto"/>
        <w:rPr>
          <w:sz w:val="20"/>
          <w:szCs w:val="20"/>
          <w:color w:val="auto"/>
        </w:rPr>
      </w:pPr>
      <w:r>
        <w:rPr>
          <w:rFonts w:ascii="Calibri" w:cs="Calibri" w:eastAsia="Calibri" w:hAnsi="Calibri"/>
          <w:sz w:val="18"/>
          <w:szCs w:val="18"/>
          <w:i w:val="1"/>
          <w:iCs w:val="1"/>
          <w:color w:val="auto"/>
        </w:rPr>
        <w:t>Investng in the Company’s common stock is highly speculatve and involves risks, including the complete loss of any investment. You should carefully consider the additonal risk factors below as well as the risk factors described in Part I, Item 1A, “Risk Factors” in the Company’s Annual Report on Form 10-K for the year ended December 31, 2021 and any updates to those risk factors or new risk factors contained in the Company’s subsequent Quarterly Reports on Form 10-Q and any registraton statements that we fle with the Securites and Exchange Commission. The Company expects to update these Risk Factors from tme to tme in the periodic and current reports that it fles with the Securites and Exchange Commission afer the date of this release.</w:t>
      </w:r>
    </w:p>
    <w:p>
      <w:pPr>
        <w:spacing w:after="0" w:line="218" w:lineRule="exact"/>
        <w:rPr>
          <w:sz w:val="20"/>
          <w:szCs w:val="20"/>
          <w:color w:val="auto"/>
        </w:rPr>
      </w:pPr>
    </w:p>
    <w:p>
      <w:pPr>
        <w:ind w:right="120"/>
        <w:spacing w:after="0" w:line="206" w:lineRule="auto"/>
        <w:rPr>
          <w:sz w:val="20"/>
          <w:szCs w:val="20"/>
          <w:color w:val="auto"/>
        </w:rPr>
      </w:pPr>
      <w:r>
        <w:rPr>
          <w:rFonts w:ascii="Calibri" w:cs="Calibri" w:eastAsia="Calibri" w:hAnsi="Calibri"/>
          <w:sz w:val="18"/>
          <w:szCs w:val="18"/>
          <w:b w:val="1"/>
          <w:bCs w:val="1"/>
          <w:color w:val="auto"/>
        </w:rPr>
        <w:t>Because there is substantal doubt about the Company’s ability to contnue as a going concern and to manage its liabilites in light of its current operatng environment, an investment in the Company’s common stock is highly speculatve; holders of the Company’s common stock are highly likely to sufer a total loss of their investment if the Company is unable to restructure its debt and fles, or is forced to fle, for bankruptcy, and even if the agreement with NYDIG is fnalized and bankruptcy is avoided, the Company’s prospects for operatng a viable hostng business are uncertain.</w:t>
      </w:r>
    </w:p>
    <w:p>
      <w:pPr>
        <w:spacing w:after="0" w:line="204" w:lineRule="exact"/>
        <w:rPr>
          <w:sz w:val="20"/>
          <w:szCs w:val="20"/>
          <w:color w:val="auto"/>
        </w:rPr>
      </w:pPr>
    </w:p>
    <w:p>
      <w:pPr>
        <w:ind w:right="100"/>
        <w:spacing w:after="0" w:line="198" w:lineRule="auto"/>
        <w:rPr>
          <w:sz w:val="20"/>
          <w:szCs w:val="20"/>
          <w:color w:val="auto"/>
        </w:rPr>
      </w:pPr>
      <w:r>
        <w:rPr>
          <w:rFonts w:ascii="Calibri" w:cs="Calibri" w:eastAsia="Calibri" w:hAnsi="Calibri"/>
          <w:sz w:val="18"/>
          <w:szCs w:val="18"/>
          <w:color w:val="auto"/>
        </w:rPr>
        <w:t>The Company antcipates that existng cash resources will be depleted within the next two months. As a result, the Company is in the process of exploring a number of potental strategic alternatves with respect to the Company’s corporate or capital structure, including raising additonal capital and renegotatng its debt obligatons (e.g., the Term Sheet). In additon to the discussions that resulted in the Term Sheet, the Company has begun to engage in discussions with certain of its other creditors regarding these initatves. The Company expects these actvites will contnue and intensify. Among possible alternatves, the Company may explore liability management transactons, including exchanging its existng debt for equity or additonal debt, which transactons may be dilutve to holders of the Company’s class A common stock, par value $0.0001 (the “Common Stock”). These discussions may not result in any agreement on commercially acceptable terms or at all. Furthermore, the Company may seek alternatve sources of equity or debt fnancing, delay capital expenditures or evaluate potental asset sales, and potentally could seek relief under the applicable bankruptcy or insolvency laws. In the event of a bankruptcy proceeding or insolvency, or restructuring of the Company’s capital structure, holders of the Company’s Common Stock could sufer a total loss of their investment. It is uncertain that any individual source of liquidity described above will be sufcient to address the Company’s liquidity requirements; and, even if all of the potental sources of liquidity described above are available, they may not be sufcient to address the Company’s liquidity requirements, which is also dependent on volatle bitcoin and natural gas prices. Should the Company be unsuccessful in completng any further fnancing, the Company would contnue to be cash fow negatve and would need to curtail or cease operatons. The Company is endeavoring to complete such fnancing transactons to provide the Company with working capital sufcient for its present requirements.</w:t>
      </w:r>
    </w:p>
    <w:p>
      <w:pPr>
        <w:spacing w:after="0" w:line="230" w:lineRule="exact"/>
        <w:rPr>
          <w:sz w:val="20"/>
          <w:szCs w:val="20"/>
          <w:color w:val="auto"/>
        </w:rPr>
      </w:pPr>
    </w:p>
    <w:p>
      <w:pPr>
        <w:jc w:val="both"/>
        <w:spacing w:after="0" w:line="214" w:lineRule="auto"/>
        <w:rPr>
          <w:sz w:val="20"/>
          <w:szCs w:val="20"/>
          <w:color w:val="auto"/>
        </w:rPr>
      </w:pPr>
      <w:r>
        <w:rPr>
          <w:rFonts w:ascii="Calibri" w:cs="Calibri" w:eastAsia="Calibri" w:hAnsi="Calibri"/>
          <w:sz w:val="17"/>
          <w:szCs w:val="17"/>
          <w:color w:val="auto"/>
        </w:rPr>
        <w:t>Due to these factors and those previously disclosed in the Company’s public flings, substantal doubt exists about the Company’s ability to contnue as a going concern. An investment in the Company’s Common Stock is highly speculatve and could result in a total loss of the investment. There is substantal likelihood that the Company’s independent auditors will take a going concern qualifcaton in the auditor report for the 2022 fnancial statements. Future developments may negatvely afect the Company’s prospects, which may in turn afect the price of the Common Stock and result in a lack of liquidity or delistng of shares.</w:t>
      </w:r>
    </w:p>
    <w:p>
      <w:pPr>
        <w:spacing w:after="0" w:line="218" w:lineRule="exact"/>
        <w:rPr>
          <w:sz w:val="20"/>
          <w:szCs w:val="20"/>
          <w:color w:val="auto"/>
        </w:rPr>
      </w:pPr>
    </w:p>
    <w:p>
      <w:pPr>
        <w:ind w:right="260"/>
        <w:spacing w:after="0" w:line="213" w:lineRule="auto"/>
        <w:rPr>
          <w:sz w:val="20"/>
          <w:szCs w:val="20"/>
          <w:color w:val="auto"/>
        </w:rPr>
      </w:pPr>
      <w:r>
        <w:rPr>
          <w:rFonts w:ascii="Calibri" w:cs="Calibri" w:eastAsia="Calibri" w:hAnsi="Calibri"/>
          <w:sz w:val="18"/>
          <w:szCs w:val="18"/>
          <w:b w:val="1"/>
          <w:bCs w:val="1"/>
          <w:color w:val="auto"/>
        </w:rPr>
        <w:t>The agreements governing the Company’s indebtedness contain covenants that may limit its ability to take advantage of certain business opportunites advantageous to the Company.</w:t>
      </w:r>
    </w:p>
    <w:p>
      <w:pPr>
        <w:spacing w:after="0" w:line="197" w:lineRule="exact"/>
        <w:rPr>
          <w:sz w:val="20"/>
          <w:szCs w:val="20"/>
          <w:color w:val="auto"/>
        </w:rPr>
      </w:pPr>
    </w:p>
    <w:p>
      <w:pPr>
        <w:spacing w:after="0"/>
        <w:rPr>
          <w:sz w:val="20"/>
          <w:szCs w:val="20"/>
          <w:color w:val="auto"/>
        </w:rPr>
      </w:pPr>
      <w:r>
        <w:rPr>
          <w:rFonts w:ascii="Calibri" w:cs="Calibri" w:eastAsia="Calibri" w:hAnsi="Calibri"/>
          <w:sz w:val="18"/>
          <w:szCs w:val="18"/>
          <w:color w:val="auto"/>
        </w:rPr>
        <w:t>The agreements governing the Company’s indebtedness contain various covenants that limit its ability to, among other things:</w:t>
      </w:r>
    </w:p>
    <w:p>
      <w:pPr>
        <w:ind w:left="660" w:hanging="328"/>
        <w:spacing w:after="0" w:line="223" w:lineRule="auto"/>
        <w:tabs>
          <w:tab w:leader="none" w:pos="66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pay dividends or make other distributons to its stockholders;</w:t>
      </w:r>
    </w:p>
    <w:p>
      <w:pPr>
        <w:spacing w:after="0" w:line="10" w:lineRule="exact"/>
        <w:rPr>
          <w:rFonts w:ascii="Times New Roman" w:cs="Times New Roman" w:eastAsia="Times New Roman" w:hAnsi="Times New Roman"/>
          <w:sz w:val="18"/>
          <w:szCs w:val="18"/>
          <w:color w:val="auto"/>
        </w:rPr>
      </w:pPr>
    </w:p>
    <w:p>
      <w:pPr>
        <w:ind w:left="660" w:hanging="328"/>
        <w:spacing w:after="0" w:line="195" w:lineRule="auto"/>
        <w:tabs>
          <w:tab w:leader="none" w:pos="66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make restricted payments;</w:t>
      </w:r>
    </w:p>
    <w:p>
      <w:pPr>
        <w:sectPr>
          <w:pgSz w:w="11900" w:h="16838" w:orient="portrait"/>
          <w:cols w:equalWidth="0" w:num="1">
            <w:col w:w="11240"/>
          </w:cols>
          <w:pgMar w:left="320" w:top="1400" w:right="339" w:bottom="1440" w:gutter="0" w:footer="0" w:header="0"/>
        </w:sectPr>
      </w:pPr>
    </w:p>
    <w:bookmarkStart w:id="6" w:name="page7"/>
    <w:bookmarkEnd w:id="6"/>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incur liens;</w:t>
      </w:r>
    </w:p>
    <w:p>
      <w:pPr>
        <w:spacing w:after="0" w:line="10" w:lineRule="exact"/>
        <w:rPr>
          <w:rFonts w:ascii="Times New Roman" w:cs="Times New Roman" w:eastAsia="Times New Roman" w:hAnsi="Times New Roman"/>
          <w:sz w:val="18"/>
          <w:szCs w:val="18"/>
          <w:color w:val="auto"/>
        </w:rPr>
      </w:pPr>
    </w:p>
    <w:p>
      <w:pPr>
        <w:ind w:left="660" w:hanging="328"/>
        <w:spacing w:after="0" w:line="195" w:lineRule="auto"/>
        <w:tabs>
          <w:tab w:leader="none" w:pos="66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color w:val="auto"/>
        </w:rPr>
        <w:t>engage in transactons with afliates;</w:t>
      </w:r>
    </w:p>
    <w:p>
      <w:pPr>
        <w:spacing w:after="0" w:line="10" w:lineRule="exact"/>
        <w:rPr>
          <w:rFonts w:ascii="Times New Roman" w:cs="Times New Roman" w:eastAsia="Times New Roman" w:hAnsi="Times New Roman"/>
          <w:sz w:val="18"/>
          <w:szCs w:val="18"/>
          <w:color w:val="auto"/>
        </w:rPr>
      </w:pPr>
    </w:p>
    <w:p>
      <w:pPr>
        <w:ind w:left="660" w:hanging="328"/>
        <w:spacing w:after="0" w:line="210" w:lineRule="auto"/>
        <w:tabs>
          <w:tab w:leader="none" w:pos="66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color w:val="auto"/>
        </w:rPr>
        <w:t>modify certain material contracts; and</w:t>
      </w:r>
    </w:p>
    <w:p>
      <w:pPr>
        <w:spacing w:after="0" w:line="10" w:lineRule="exact"/>
        <w:rPr>
          <w:rFonts w:ascii="Times New Roman" w:cs="Times New Roman" w:eastAsia="Times New Roman" w:hAnsi="Times New Roman"/>
          <w:sz w:val="18"/>
          <w:szCs w:val="18"/>
          <w:color w:val="auto"/>
        </w:rPr>
      </w:pPr>
    </w:p>
    <w:p>
      <w:pPr>
        <w:ind w:left="660" w:hanging="328"/>
        <w:spacing w:after="0" w:line="195" w:lineRule="auto"/>
        <w:tabs>
          <w:tab w:leader="none" w:pos="66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color w:val="auto"/>
        </w:rPr>
        <w:t>enter into business combinatons.</w:t>
      </w:r>
    </w:p>
    <w:p>
      <w:pPr>
        <w:spacing w:after="0" w:line="204" w:lineRule="exact"/>
        <w:rPr>
          <w:sz w:val="20"/>
          <w:szCs w:val="20"/>
          <w:color w:val="auto"/>
        </w:rPr>
      </w:pPr>
    </w:p>
    <w:p>
      <w:pPr>
        <w:ind w:right="160"/>
        <w:spacing w:after="0" w:line="206" w:lineRule="auto"/>
        <w:rPr>
          <w:sz w:val="20"/>
          <w:szCs w:val="20"/>
          <w:color w:val="auto"/>
        </w:rPr>
      </w:pPr>
      <w:r>
        <w:rPr>
          <w:rFonts w:ascii="Calibri" w:cs="Calibri" w:eastAsia="Calibri" w:hAnsi="Calibri"/>
          <w:sz w:val="18"/>
          <w:szCs w:val="18"/>
          <w:color w:val="auto"/>
        </w:rPr>
        <w:t>These restrictons could limit the Company’s ability to obtain future fnancing, make acquisitons, fund needed capital expenditures, withstand economic downturns in its business or the economy in general, conduct operatons or otherwise take advantage of business opportunites that may arise. At the same tme, the covenants in the instruments governing the Company’s indebtedness may not provide investors with protectons against transactons they may deem undesirable. To the extent the Company engages in restructuring actvites, such covenants may further limit the items described above.</w:t>
      </w:r>
    </w:p>
    <w:p>
      <w:pPr>
        <w:spacing w:after="0" w:line="218" w:lineRule="exact"/>
        <w:rPr>
          <w:sz w:val="20"/>
          <w:szCs w:val="20"/>
          <w:color w:val="auto"/>
        </w:rPr>
      </w:pPr>
    </w:p>
    <w:p>
      <w:pPr>
        <w:ind w:right="460"/>
        <w:spacing w:after="0" w:line="213" w:lineRule="auto"/>
        <w:rPr>
          <w:sz w:val="20"/>
          <w:szCs w:val="20"/>
          <w:color w:val="auto"/>
        </w:rPr>
      </w:pPr>
      <w:r>
        <w:rPr>
          <w:rFonts w:ascii="Calibri" w:cs="Calibri" w:eastAsia="Calibri" w:hAnsi="Calibri"/>
          <w:sz w:val="18"/>
          <w:szCs w:val="18"/>
          <w:color w:val="auto"/>
        </w:rPr>
        <w:t>If the Company’s cash fows contnue to prove inadequate to service its debt and provide for other obligatons, the Company may be further required to refnance all or a porton of its existng debt or future debt at unfavorable terms.</w:t>
      </w:r>
    </w:p>
    <w:p>
      <w:pPr>
        <w:spacing w:after="0" w:line="204" w:lineRule="exact"/>
        <w:rPr>
          <w:sz w:val="20"/>
          <w:szCs w:val="20"/>
          <w:color w:val="auto"/>
        </w:rPr>
      </w:pPr>
    </w:p>
    <w:p>
      <w:pPr>
        <w:ind w:right="100"/>
        <w:spacing w:after="0" w:line="223" w:lineRule="auto"/>
        <w:rPr>
          <w:sz w:val="20"/>
          <w:szCs w:val="20"/>
          <w:color w:val="auto"/>
        </w:rPr>
      </w:pPr>
      <w:r>
        <w:rPr>
          <w:rFonts w:ascii="Calibri" w:cs="Calibri" w:eastAsia="Calibri" w:hAnsi="Calibri"/>
          <w:sz w:val="17"/>
          <w:szCs w:val="17"/>
          <w:color w:val="auto"/>
        </w:rPr>
        <w:t>The Company’s ability to make payments on and refnance its debt and other fnancial obligatons and to fund its capital expenditures and acquisitons will depend on the Company’s ability to generate substantal operatng cash fow. This will depend on future performance, which will be subject to prevailing economic conditons, including the price of bitcoin and/or the cost of natural gas, and to fnancial, business and other factors beyond the Company’s control.</w:t>
      </w:r>
    </w:p>
    <w:p>
      <w:pPr>
        <w:spacing w:after="0" w:line="205" w:lineRule="exact"/>
        <w:rPr>
          <w:sz w:val="20"/>
          <w:szCs w:val="20"/>
          <w:color w:val="auto"/>
        </w:rPr>
      </w:pPr>
    </w:p>
    <w:p>
      <w:pPr>
        <w:ind w:right="20"/>
        <w:spacing w:after="0" w:line="202" w:lineRule="auto"/>
        <w:rPr>
          <w:sz w:val="20"/>
          <w:szCs w:val="20"/>
          <w:color w:val="auto"/>
        </w:rPr>
      </w:pPr>
      <w:r>
        <w:rPr>
          <w:rFonts w:ascii="Calibri" w:cs="Calibri" w:eastAsia="Calibri" w:hAnsi="Calibri"/>
          <w:sz w:val="18"/>
          <w:szCs w:val="18"/>
          <w:color w:val="auto"/>
        </w:rPr>
        <w:t>In additon, the Company’s debt obligatons require it to repay or refnance its obligatons when they come due. If the Company’s cash fows were to prove inadequate to meet its debt service, rental and other obligatons in the future, it may be required to refnance all or a porton of its existng or future debt, on or before maturity, to sell assets or to obtain additonal fnancing. The Company cannot give assurance that it will be able to refnance any of its indebtedness, sell any such assets, or obtain additonal fnancing on commercially reasonable terms or at all. As of November 30, 2022, the Company had approximately $162 million aggregate principal amount of indebtedness outstanding. Even if the Company pays its debt outstanding to NYDIG, this may not be sufcient to address the Company’s liquidity requirements, and the Company may nonetheless be required to pursue an in-court restructuring of its liabilites to address the claims of other lenders.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About Greenidge Generaton Holdings Inc.</w:t>
      </w:r>
    </w:p>
    <w:p>
      <w:pPr>
        <w:spacing w:after="0" w:line="195" w:lineRule="auto"/>
        <w:rPr>
          <w:sz w:val="20"/>
          <w:szCs w:val="20"/>
          <w:color w:val="auto"/>
        </w:rPr>
      </w:pPr>
      <w:r>
        <w:rPr>
          <w:rFonts w:ascii="Calibri" w:cs="Calibri" w:eastAsia="Calibri" w:hAnsi="Calibri"/>
          <w:sz w:val="18"/>
          <w:szCs w:val="18"/>
          <w:color w:val="auto"/>
        </w:rPr>
        <w:t>Greenidge Generaton Holdings Inc. (NASDAQ: GREE) is a vertcally integrated cryptocurrency datacenter and power generaton company.</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Forward-Looking Statements</w:t>
      </w:r>
    </w:p>
    <w:p>
      <w:pPr>
        <w:spacing w:after="0" w:line="196" w:lineRule="auto"/>
        <w:rPr>
          <w:sz w:val="20"/>
          <w:szCs w:val="20"/>
          <w:color w:val="auto"/>
        </w:rPr>
      </w:pPr>
      <w:r>
        <w:rPr>
          <w:rFonts w:ascii="Calibri" w:cs="Calibri" w:eastAsia="Calibri" w:hAnsi="Calibri"/>
          <w:sz w:val="18"/>
          <w:szCs w:val="18"/>
          <w:color w:val="auto"/>
        </w:rPr>
        <w:t>This press release includes certain statements that may consttute “forward-looking statements” within the meaning of Secton 27A of the Securites Act of 1933, as amended, and Secton 21E of the Securites Exchange Act of 1934, as amended. All statements other than statements of historical fact are forward-looking statements for purposes of federal and state securites laws. These forward-looking statements involve uncertaintes that could signifcantly afect Greenidge’s fnancial or operatng results. These forward-looking statements may be identfed by terms such as “antcipate,” “believe,” “contnue,” “foresee,” “expect,” “intend,” “plan,” “may,” “will,” “would,” “could,” and “should,” and the negatve of these terms or other similar expressions. Forward-looking statements are based on current beliefs and assumptons that are subject to risks and uncertaintes and are not guarantees of future performance. Forward-looking statements in this press release include, among other things, statements regarding the business plan, business strategy and operatons of Greenidge in the future. In additon, all statements that address operatng performance and future performance, events or developments that are expected or antcipated to occur in the future, such as statements concerning (i) completon of defnitve debt and hostng arrangements with NYDIG, (ii) potental reductons in debt balances under the Master Equipment Finance Agreements dated as of May 25, 2021 and March 21, 2022, (iii) expected terms of fnal hostng arrangement, and (iv) ability to secure rights to a mining site to satsfactorily meet the requirements of the Post-Closing Covenant, are forward looking statements. Forward-looking statements are subject to a number of risks, uncertaintes and assumptons. Maters and factors that could cause actual results to difer materially from those expressed or implied in such forward-looking statements include but are not limited to the maters and factors described in Part I, Item 1A. “Risk Factors” of Greenidge’s Annual Report on Form 10-K for the year ended December 31, 2021, in Part II, Item 1A. “Risk Factors” of Greenidge’s Quarterly Report on Form 10-Q for the period ended September 30, 2022, and its other flings with the Securites and Exchange Commission, as well as statements about or relatng to or otherwise afected by the completon of management’s fnal review of the fnancial results and Greenidge’s other closing procedures. Consequently, all of the forward-looking statements made in this press release are qualifed by the informaton contained under this capton. No assurance can be given that these are all of the factors that could cause actual results to vary materially from the forward-looking statements in this press release.</w:t>
      </w:r>
    </w:p>
    <w:p>
      <w:pPr>
        <w:sectPr>
          <w:pgSz w:w="11900" w:h="16838" w:orient="portrait"/>
          <w:cols w:equalWidth="0" w:num="1">
            <w:col w:w="11240"/>
          </w:cols>
          <w:pgMar w:left="320" w:top="1408" w:right="339" w:bottom="1440" w:gutter="0" w:footer="0" w:header="0"/>
        </w:sectPr>
      </w:pPr>
    </w:p>
    <w:bookmarkStart w:id="7" w:name="page8"/>
    <w:bookmarkEnd w:id="7"/>
    <w:p>
      <w:pPr>
        <w:spacing w:after="0" w:line="203" w:lineRule="auto"/>
        <w:rPr>
          <w:sz w:val="20"/>
          <w:szCs w:val="20"/>
          <w:color w:val="auto"/>
        </w:rPr>
      </w:pPr>
      <w:r>
        <w:rPr>
          <w:rFonts w:ascii="Calibri" w:cs="Calibri" w:eastAsia="Calibri" w:hAnsi="Calibri"/>
          <w:sz w:val="18"/>
          <w:szCs w:val="18"/>
          <w:color w:val="auto"/>
        </w:rPr>
        <w:t>You should not put undue reliance on forward-looking statements. No assurances can be given that any of the events antcipated by the forward-looking statements will transpire or occur, or if any of them do occur, the actual results, performance, or achievements of Greenidge could difer materially from the results expressed in, or implied by, any forward-looking statements. All forward-looking statements speak only as of the date of this press release and Greenidge does not assume any duty to update or revise any forward-looking statements included in this press release, whether as a result of new informaton, the occurrence of future events, uncertaintes or otherwise, afer the date of this press release.</w:t>
      </w:r>
    </w:p>
    <w:p>
      <w:pPr>
        <w:spacing w:after="0" w:line="21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For further informaton, please contact:</w:t>
      </w:r>
    </w:p>
    <w:p>
      <w:pPr>
        <w:spacing w:after="0" w:line="191" w:lineRule="auto"/>
        <w:rPr>
          <w:sz w:val="20"/>
          <w:szCs w:val="20"/>
          <w:color w:val="auto"/>
        </w:rPr>
      </w:pPr>
      <w:r>
        <w:rPr>
          <w:rFonts w:ascii="Calibri" w:cs="Calibri" w:eastAsia="Calibri" w:hAnsi="Calibri"/>
          <w:sz w:val="18"/>
          <w:szCs w:val="18"/>
          <w:b w:val="1"/>
          <w:bCs w:val="1"/>
          <w:color w:val="auto"/>
        </w:rPr>
        <w:t>Investor Relatons</w:t>
      </w:r>
    </w:p>
    <w:p>
      <w:pPr>
        <w:spacing w:after="0" w:line="196" w:lineRule="auto"/>
        <w:rPr>
          <w:sz w:val="20"/>
          <w:szCs w:val="20"/>
          <w:color w:val="auto"/>
        </w:rPr>
      </w:pPr>
      <w:r>
        <w:rPr>
          <w:rFonts w:ascii="Calibri" w:cs="Calibri" w:eastAsia="Calibri" w:hAnsi="Calibri"/>
          <w:sz w:val="18"/>
          <w:szCs w:val="18"/>
          <w:color w:val="auto"/>
        </w:rPr>
        <w:t>investorrelatons@greenidge.com</w:t>
      </w:r>
    </w:p>
    <w:p>
      <w:pPr>
        <w:spacing w:after="0" w:line="202" w:lineRule="auto"/>
        <w:rPr>
          <w:sz w:val="20"/>
          <w:szCs w:val="20"/>
          <w:color w:val="auto"/>
        </w:rPr>
      </w:pPr>
      <w:r>
        <w:rPr>
          <w:rFonts w:ascii="Calibri" w:cs="Calibri" w:eastAsia="Calibri" w:hAnsi="Calibri"/>
          <w:sz w:val="18"/>
          <w:szCs w:val="18"/>
          <w:b w:val="1"/>
          <w:bCs w:val="1"/>
          <w:color w:val="auto"/>
        </w:rPr>
        <w:t>Media Inquiries</w:t>
      </w:r>
    </w:p>
    <w:p>
      <w:pPr>
        <w:spacing w:after="0" w:line="196" w:lineRule="auto"/>
        <w:rPr>
          <w:sz w:val="20"/>
          <w:szCs w:val="20"/>
          <w:color w:val="auto"/>
        </w:rPr>
      </w:pPr>
      <w:r>
        <w:rPr>
          <w:rFonts w:ascii="Calibri" w:cs="Calibri" w:eastAsia="Calibri" w:hAnsi="Calibri"/>
          <w:sz w:val="18"/>
          <w:szCs w:val="18"/>
          <w:color w:val="auto"/>
        </w:rPr>
        <w:t>media@greenidge.com</w:t>
      </w:r>
    </w:p>
    <w:sectPr>
      <w:pgSz w:w="11900" w:h="16838" w:orient="portrait"/>
      <w:cols w:equalWidth="0" w:num="1">
        <w:col w:w="11100"/>
      </w:cols>
      <w:pgMar w:left="320" w:top="140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2022-12-20T06:08:28Z</dcterms:created>
  <dcterms:modified xsi:type="dcterms:W3CDTF">2022-12-20T06:08:28Z</dcterms:modified>
</cp:coreProperties>
</file>