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333-267506</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October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160020</wp:posOffset>
            </wp:positionV>
            <wp:extent cx="244284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4284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Greenidge Generation Holdings Inc.</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Up to $22,800,000</w:t>
      </w: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100"/>
        <w:spacing w:after="0" w:line="301" w:lineRule="auto"/>
        <w:rPr>
          <w:sz w:val="20"/>
          <w:szCs w:val="20"/>
          <w:color w:val="auto"/>
        </w:rPr>
      </w:pPr>
      <w:r>
        <w:rPr>
          <w:rFonts w:ascii="Arial" w:cs="Arial" w:eastAsia="Arial" w:hAnsi="Arial"/>
          <w:sz w:val="16"/>
          <w:szCs w:val="16"/>
          <w:color w:val="auto"/>
        </w:rPr>
        <w:t>We have entered into an at market issuance sales agreement, dated September 19, 2022, as amended by Amendment No. 1 to the sales agreement, dated as of October 3, 2022 (as amended, the “sales agreement”), with B. Riley Securities, Inc. (“B. Riley” or “sales agent”) and Northland Securities, Inc. (“Northland”), relating to shares of our class A common stock offered by this prospectus supplement and the accompanying prospectus. In accordance with the terms of the sales agreement, we may offer and sell shares of our class A common stock having an aggregate offering price of $22,800,000.</w:t>
      </w:r>
    </w:p>
    <w:p>
      <w:pPr>
        <w:spacing w:after="0" w:line="157" w:lineRule="exact"/>
        <w:rPr>
          <w:sz w:val="24"/>
          <w:szCs w:val="24"/>
          <w:color w:val="auto"/>
        </w:rPr>
      </w:pPr>
    </w:p>
    <w:p>
      <w:pPr>
        <w:ind w:left="120" w:right="280"/>
        <w:spacing w:after="0" w:line="277" w:lineRule="auto"/>
        <w:rPr>
          <w:sz w:val="20"/>
          <w:szCs w:val="20"/>
          <w:color w:val="auto"/>
        </w:rPr>
      </w:pPr>
      <w:r>
        <w:rPr>
          <w:rFonts w:ascii="Arial" w:cs="Arial" w:eastAsia="Arial" w:hAnsi="Arial"/>
          <w:sz w:val="18"/>
          <w:szCs w:val="18"/>
          <w:color w:val="auto"/>
        </w:rPr>
        <w:t>Shares of our class A common stock trade on the Nasdaq Global Select Market, under the symbol “GREE.” On October 3, 2022, the last sale price of the shares as reported on the Nasdaq Global Select Market was $2.02 per share.</w:t>
      </w:r>
    </w:p>
    <w:p>
      <w:pPr>
        <w:spacing w:after="0" w:line="170" w:lineRule="exact"/>
        <w:rPr>
          <w:sz w:val="24"/>
          <w:szCs w:val="24"/>
          <w:color w:val="auto"/>
        </w:rPr>
      </w:pPr>
    </w:p>
    <w:p>
      <w:pPr>
        <w:ind w:left="120" w:right="160"/>
        <w:spacing w:after="0" w:line="275" w:lineRule="auto"/>
        <w:rPr>
          <w:sz w:val="20"/>
          <w:szCs w:val="20"/>
          <w:color w:val="auto"/>
        </w:rPr>
      </w:pPr>
      <w:r>
        <w:rPr>
          <w:rFonts w:ascii="Arial" w:cs="Arial" w:eastAsia="Arial" w:hAnsi="Arial"/>
          <w:sz w:val="17"/>
          <w:szCs w:val="17"/>
          <w:color w:val="auto"/>
        </w:rPr>
        <w:t>Sales of our class A common stock, if any, pursuant to this prospectus supplement and the accompanying prospectus will be made in any method permitted by law deemed to be an “at the market offering” as defined in Rule 415 under the Securities Act. Subject to the terms of the sales agreement, the sales agent is not required to sell any specific number or dollar amount of our class A common stock but will make all sales using commercially reasonable efforts consistent with its normal sales and trading practices on terms mutually agreed upon between the sales agents and us. There is no arrangement for funds to be received in any escrow, trust or similar arrangement.</w:t>
      </w:r>
    </w:p>
    <w:p>
      <w:pPr>
        <w:spacing w:after="0" w:line="176" w:lineRule="exact"/>
        <w:rPr>
          <w:sz w:val="24"/>
          <w:szCs w:val="24"/>
          <w:color w:val="auto"/>
        </w:rPr>
      </w:pPr>
    </w:p>
    <w:p>
      <w:pPr>
        <w:ind w:left="120" w:right="20"/>
        <w:spacing w:after="0" w:line="293" w:lineRule="auto"/>
        <w:rPr>
          <w:sz w:val="20"/>
          <w:szCs w:val="20"/>
          <w:color w:val="auto"/>
        </w:rPr>
      </w:pPr>
      <w:r>
        <w:rPr>
          <w:rFonts w:ascii="Arial" w:cs="Arial" w:eastAsia="Arial" w:hAnsi="Arial"/>
          <w:sz w:val="16"/>
          <w:szCs w:val="16"/>
          <w:color w:val="auto"/>
        </w:rPr>
        <w:t>As of September 16, 2022, the aggregate market value of our class A and class B common stock (our “common stock”) held by our non-affiliates was approximately $68.6 million, based upon 14,752,141 shares of our outstanding common stock held by non-affiliates at the per share price of $4.65, the closing sale price of our class A common stock on the Nasdaq Global Select Market on August 15, 2022. Pursuant to General Instruction I.B.6 of Form S-3, in no event will we sell securities in a public offering with a value exceeding more than one third of our “public float” (i.e., the aggregate market value of our common stock held by our non-affiliates) in any 12-month period so long as our public float remains below $75.0 million. We have not sold any securities in reliance on General Instruction I.B.6 of Form S-3 during the 12 calendar months prior to and including the date of this prospectus.</w:t>
      </w:r>
    </w:p>
    <w:p>
      <w:pPr>
        <w:spacing w:after="0" w:line="164" w:lineRule="exact"/>
        <w:rPr>
          <w:sz w:val="24"/>
          <w:szCs w:val="24"/>
          <w:color w:val="auto"/>
        </w:rPr>
      </w:pPr>
    </w:p>
    <w:p>
      <w:pPr>
        <w:ind w:left="120" w:right="160"/>
        <w:spacing w:after="0" w:line="257" w:lineRule="auto"/>
        <w:rPr>
          <w:sz w:val="20"/>
          <w:szCs w:val="20"/>
          <w:color w:val="auto"/>
        </w:rPr>
      </w:pPr>
      <w:r>
        <w:rPr>
          <w:rFonts w:ascii="Arial" w:cs="Arial" w:eastAsia="Arial" w:hAnsi="Arial"/>
          <w:sz w:val="18"/>
          <w:szCs w:val="18"/>
          <w:color w:val="auto"/>
        </w:rPr>
        <w:t>The compensation payable to B. Riley for sales of our class A common stock pursuant to the sales agreement will be an amount equal to up to 5.0% of the gross sales price of all class A common stock sold thereunder. In connection with the sale of the class A common stock on our behalf, B. Riley will be deemed to be an “underwriter” within the meaning of the Securities Act, and the compensation of B. Riley will be deemed to be underwriting commissions or discounts. We have also agreed to provide indemnification and contribution to B. Riley with respect to certain liabilities, including liabilities under the Securities Act or the Exchange Act.</w:t>
      </w:r>
    </w:p>
    <w:p>
      <w:pPr>
        <w:spacing w:after="0" w:line="188" w:lineRule="exact"/>
        <w:rPr>
          <w:sz w:val="24"/>
          <w:szCs w:val="24"/>
          <w:color w:val="auto"/>
        </w:rPr>
      </w:pPr>
    </w:p>
    <w:p>
      <w:pPr>
        <w:ind w:left="120" w:right="160"/>
        <w:spacing w:after="0" w:line="25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(“JOBS Act”) and a “smaller reporting company” as defined in Item 10(f)(1) of Regulation S-K, and, as such, we have elected to comply with certain reduced public company reporting requirements for this prospectus supplement and future filings. Please see “</w:t>
      </w:r>
      <w:r>
        <w:rPr>
          <w:rFonts w:ascii="Arial" w:cs="Arial" w:eastAsia="Arial" w:hAnsi="Arial"/>
          <w:sz w:val="18"/>
          <w:szCs w:val="18"/>
          <w:i w:val="1"/>
          <w:iCs w:val="1"/>
          <w:color w:val="auto"/>
        </w:rPr>
        <w:t>Summary—Implications of Being an Emerging Growth Company and</w:t>
      </w:r>
      <w:r>
        <w:rPr>
          <w:rFonts w:ascii="Arial" w:cs="Arial" w:eastAsia="Arial" w:hAnsi="Arial"/>
          <w:sz w:val="18"/>
          <w:szCs w:val="18"/>
          <w:color w:val="auto"/>
        </w:rPr>
        <w:t xml:space="preserve"> </w:t>
      </w:r>
      <w:r>
        <w:rPr>
          <w:rFonts w:ascii="Arial" w:cs="Arial" w:eastAsia="Arial" w:hAnsi="Arial"/>
          <w:sz w:val="18"/>
          <w:szCs w:val="18"/>
          <w:i w:val="1"/>
          <w:iCs w:val="1"/>
          <w:color w:val="auto"/>
        </w:rPr>
        <w:t>Smaller Reporting Company</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left="120" w:right="60"/>
        <w:spacing w:after="0" w:line="237" w:lineRule="auto"/>
        <w:rPr>
          <w:sz w:val="20"/>
          <w:szCs w:val="20"/>
          <w:color w:val="auto"/>
        </w:rPr>
      </w:pPr>
      <w:r>
        <w:rPr>
          <w:rFonts w:ascii="Arial" w:cs="Arial" w:eastAsia="Arial" w:hAnsi="Arial"/>
          <w:sz w:val="22"/>
          <w:szCs w:val="22"/>
          <w:b w:val="1"/>
          <w:bCs w:val="1"/>
          <w:color w:val="auto"/>
        </w:rPr>
        <w:t>Investing in our class A common stock involves risks. See “</w:t>
      </w:r>
      <w:r>
        <w:rPr>
          <w:rFonts w:ascii="Arial" w:cs="Arial" w:eastAsia="Arial" w:hAnsi="Arial"/>
          <w:sz w:val="22"/>
          <w:szCs w:val="22"/>
          <w:b w:val="1"/>
          <w:bCs w:val="1"/>
          <w:i w:val="1"/>
          <w:iCs w:val="1"/>
          <w:u w:val="single" w:color="auto"/>
          <w:color w:val="0000EE"/>
        </w:rPr>
        <w:t>Risk Factors</w:t>
      </w:r>
      <w:r>
        <w:rPr>
          <w:rFonts w:ascii="Arial" w:cs="Arial" w:eastAsia="Arial" w:hAnsi="Arial"/>
          <w:sz w:val="22"/>
          <w:szCs w:val="22"/>
          <w:b w:val="1"/>
          <w:bCs w:val="1"/>
          <w:color w:val="auto"/>
        </w:rPr>
        <w:t>” beginning on page S-9 of this prospectus supplement and the risk factors that are incorporated by reference into this prospectus supplement and the accompanying prospectus from our filings made with the Securities and Exchange Commission (the “SEC”) pursuant to the Exchange Act for a discussion of the factors you should carefully consider before deciding to invest in our class A common stock.</w:t>
      </w:r>
    </w:p>
    <w:p>
      <w:pPr>
        <w:spacing w:after="0" w:line="191" w:lineRule="exact"/>
        <w:rPr>
          <w:sz w:val="24"/>
          <w:szCs w:val="24"/>
          <w:color w:val="auto"/>
        </w:rPr>
      </w:pPr>
    </w:p>
    <w:p>
      <w:pPr>
        <w:ind w:left="120" w:right="840"/>
        <w:spacing w:after="0" w:line="386"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left="1420"/>
        <w:spacing w:after="0"/>
        <w:tabs>
          <w:tab w:leader="none" w:pos="6400" w:val="left"/>
        </w:tabs>
        <w:rPr>
          <w:sz w:val="20"/>
          <w:szCs w:val="20"/>
          <w:color w:val="auto"/>
        </w:rPr>
      </w:pPr>
      <w:r>
        <w:rPr>
          <w:rFonts w:ascii="Arial" w:cs="Arial" w:eastAsia="Arial" w:hAnsi="Arial"/>
          <w:sz w:val="29"/>
          <w:szCs w:val="29"/>
          <w:b w:val="1"/>
          <w:bCs w:val="1"/>
          <w:color w:val="auto"/>
        </w:rPr>
        <w:t>B. Riley Securities</w:t>
      </w:r>
      <w:r>
        <w:rPr>
          <w:sz w:val="20"/>
          <w:szCs w:val="20"/>
          <w:color w:val="auto"/>
        </w:rPr>
        <w:tab/>
      </w:r>
      <w:r>
        <w:rPr>
          <w:rFonts w:ascii="Arial" w:cs="Arial" w:eastAsia="Arial" w:hAnsi="Arial"/>
          <w:sz w:val="27"/>
          <w:szCs w:val="27"/>
          <w:b w:val="1"/>
          <w:bCs w:val="1"/>
          <w:color w:val="auto"/>
        </w:rPr>
        <w:t>Northland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245745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supplement is October 4, 2022.</w:t>
      </w:r>
    </w:p>
    <w:p>
      <w:pPr>
        <w:sectPr>
          <w:pgSz w:w="11900" w:h="16838" w:orient="portrait"/>
          <w:cols w:equalWidth="0" w:num="1">
            <w:col w:w="11140"/>
          </w:cols>
          <w:pgMar w:left="320" w:top="230" w:right="439" w:bottom="11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00" w:type="dxa"/>
            <w:vAlign w:val="bottom"/>
            <w:gridSpan w:val="17"/>
          </w:tcPr>
          <w:p>
            <w:pPr>
              <w:spacing w:after="0"/>
              <w:rPr>
                <w:sz w:val="20"/>
                <w:szCs w:val="20"/>
                <w:color w:val="auto"/>
              </w:rPr>
            </w:pPr>
            <w:r>
              <w:rPr>
                <w:rFonts w:ascii="Arial" w:cs="Arial" w:eastAsia="Arial" w:hAnsi="Arial"/>
                <w:sz w:val="18"/>
                <w:szCs w:val="18"/>
                <w:b w:val="1"/>
                <w:bCs w:val="1"/>
                <w:color w:val="0000EE"/>
              </w:rPr>
              <w:t>Table of Contents</w:t>
            </w:r>
          </w:p>
        </w:tc>
        <w:tc>
          <w:tcPr>
            <w:tcW w:w="21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21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7"/>
              </w:rPr>
              <w:t>Prospectus Supplement</w:t>
            </w:r>
          </w:p>
        </w:tc>
        <w:tc>
          <w:tcPr>
            <w:tcW w:w="21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3"/>
              </w:rPr>
              <w:t>ABOUT THIS PROSPECTUS SUPPLEMENT</w:t>
            </w:r>
          </w:p>
        </w:tc>
        <w:tc>
          <w:tcPr>
            <w:tcW w:w="534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304"/>
        </w:trPr>
        <w:tc>
          <w:tcPr>
            <w:tcW w:w="120" w:type="dxa"/>
            <w:vAlign w:val="bottom"/>
          </w:tcPr>
          <w:p>
            <w:pPr>
              <w:spacing w:after="0"/>
              <w:rPr>
                <w:sz w:val="24"/>
                <w:szCs w:val="24"/>
                <w:color w:val="auto"/>
              </w:rPr>
            </w:pPr>
          </w:p>
        </w:tc>
        <w:tc>
          <w:tcPr>
            <w:tcW w:w="63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6"/>
              </w:rPr>
              <w:t>CAUTIONARY STATEMENT REGARDING FORWARD-LOOKING STATEMENTS</w:t>
            </w:r>
          </w:p>
        </w:tc>
        <w:tc>
          <w:tcPr>
            <w:tcW w:w="244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304"/>
        </w:trPr>
        <w:tc>
          <w:tcPr>
            <w:tcW w:w="12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SUMMARY</w:t>
            </w:r>
          </w:p>
        </w:tc>
        <w:tc>
          <w:tcPr>
            <w:tcW w:w="7860" w:type="dxa"/>
            <w:vAlign w:val="bottom"/>
            <w:gridSpan w:val="14"/>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304"/>
        </w:trPr>
        <w:tc>
          <w:tcPr>
            <w:tcW w:w="120" w:type="dxa"/>
            <w:vAlign w:val="bottom"/>
          </w:tcPr>
          <w:p>
            <w:pPr>
              <w:spacing w:after="0"/>
              <w:rPr>
                <w:sz w:val="24"/>
                <w:szCs w:val="24"/>
                <w:color w:val="auto"/>
              </w:rPr>
            </w:pPr>
          </w:p>
        </w:tc>
        <w:tc>
          <w:tcPr>
            <w:tcW w:w="12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THE OFFERING</w:t>
            </w:r>
          </w:p>
        </w:tc>
        <w:tc>
          <w:tcPr>
            <w:tcW w:w="7500" w:type="dxa"/>
            <w:vAlign w:val="bottom"/>
            <w:gridSpan w:val="1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RISK FACTORS</w:t>
            </w:r>
          </w:p>
        </w:tc>
        <w:tc>
          <w:tcPr>
            <w:tcW w:w="218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USE OF PROCEEDS</w:t>
            </w:r>
          </w:p>
        </w:tc>
        <w:tc>
          <w:tcPr>
            <w:tcW w:w="7200" w:type="dxa"/>
            <w:vAlign w:val="bottom"/>
            <w:gridSpan w:val="10"/>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304"/>
        </w:trPr>
        <w:tc>
          <w:tcPr>
            <w:tcW w:w="120" w:type="dxa"/>
            <w:vAlign w:val="bottom"/>
          </w:tcPr>
          <w:p>
            <w:pPr>
              <w:spacing w:after="0"/>
              <w:rPr>
                <w:sz w:val="24"/>
                <w:szCs w:val="24"/>
                <w:color w:val="auto"/>
              </w:rPr>
            </w:pPr>
          </w:p>
        </w:tc>
        <w:tc>
          <w:tcPr>
            <w:tcW w:w="42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6"/>
              </w:rPr>
              <w:t>PLAN OF DISTRIBUTION (CONFLICT OF INTEREST)</w:t>
            </w:r>
          </w:p>
        </w:tc>
        <w:tc>
          <w:tcPr>
            <w:tcW w:w="4520" w:type="dxa"/>
            <w:vAlign w:val="bottom"/>
            <w:gridSpan w:val="3"/>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MATERIAL U.S. FEDERAL INCOME TAX CONSIDERATIONS FOR NON-U.S. HOLDERS</w:t>
            </w:r>
          </w:p>
        </w:tc>
        <w:tc>
          <w:tcPr>
            <w:tcW w:w="2180" w:type="dxa"/>
            <w:vAlign w:val="bottom"/>
          </w:tcPr>
          <w:p>
            <w:pPr>
              <w:jc w:val="right"/>
              <w:spacing w:after="0"/>
              <w:rPr>
                <w:sz w:val="20"/>
                <w:szCs w:val="20"/>
                <w:color w:val="auto"/>
              </w:rPr>
            </w:pPr>
            <w:r>
              <w:rPr>
                <w:rFonts w:ascii="Arial" w:cs="Arial" w:eastAsia="Arial" w:hAnsi="Arial"/>
                <w:sz w:val="18"/>
                <w:szCs w:val="18"/>
                <w:color w:val="auto"/>
              </w:rPr>
              <w:t>S-14</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6"/>
              </w:rPr>
              <w:t>LEGAL MATTERS</w:t>
            </w:r>
          </w:p>
        </w:tc>
        <w:tc>
          <w:tcPr>
            <w:tcW w:w="5480" w:type="dxa"/>
            <w:vAlign w:val="bottom"/>
            <w:tcBorders>
              <w:top w:val="single" w:sz="8" w:color="0000EE"/>
            </w:tcBorders>
            <w:gridSpan w:val="10"/>
          </w:tcPr>
          <w:p>
            <w:pPr>
              <w:spacing w:after="0"/>
              <w:rPr>
                <w:sz w:val="24"/>
                <w:szCs w:val="24"/>
                <w:color w:val="auto"/>
              </w:rPr>
            </w:pPr>
          </w:p>
        </w:tc>
        <w:tc>
          <w:tcPr>
            <w:tcW w:w="18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S-18</w:t>
            </w: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EXPERTS</w:t>
            </w:r>
          </w:p>
        </w:tc>
        <w:tc>
          <w:tcPr>
            <w:tcW w:w="2180" w:type="dxa"/>
            <w:vAlign w:val="bottom"/>
          </w:tcPr>
          <w:p>
            <w:pPr>
              <w:jc w:val="right"/>
              <w:spacing w:after="0"/>
              <w:rPr>
                <w:sz w:val="20"/>
                <w:szCs w:val="20"/>
                <w:color w:val="auto"/>
              </w:rPr>
            </w:pPr>
            <w:r>
              <w:rPr>
                <w:rFonts w:ascii="Arial" w:cs="Arial" w:eastAsia="Arial" w:hAnsi="Arial"/>
                <w:sz w:val="18"/>
                <w:szCs w:val="18"/>
                <w:color w:val="auto"/>
              </w:rPr>
              <w:t>S-19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WHERE YOU CAN FIND MORE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S-20</w:t>
            </w:r>
          </w:p>
        </w:tc>
      </w:tr>
      <w:tr>
        <w:trPr>
          <w:trHeight w:val="20"/>
        </w:trPr>
        <w:tc>
          <w:tcPr>
            <w:tcW w:w="120" w:type="dxa"/>
            <w:vAlign w:val="bottom"/>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DOCUMENTS INCORPORATED BY REFERENCE</w:t>
            </w:r>
          </w:p>
        </w:tc>
        <w:tc>
          <w:tcPr>
            <w:tcW w:w="2180" w:type="dxa"/>
            <w:vAlign w:val="bottom"/>
          </w:tcPr>
          <w:p>
            <w:pPr>
              <w:jc w:val="right"/>
              <w:spacing w:after="0"/>
              <w:rPr>
                <w:sz w:val="20"/>
                <w:szCs w:val="20"/>
                <w:color w:val="auto"/>
              </w:rPr>
            </w:pPr>
            <w:r>
              <w:rPr>
                <w:rFonts w:ascii="Arial" w:cs="Arial" w:eastAsia="Arial" w:hAnsi="Arial"/>
                <w:sz w:val="18"/>
                <w:szCs w:val="18"/>
                <w:color w:val="auto"/>
              </w:rPr>
              <w:t>S-21</w:t>
            </w:r>
          </w:p>
        </w:tc>
      </w:tr>
      <w:tr>
        <w:trPr>
          <w:trHeight w:val="668"/>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5"/>
              </w:rPr>
              <w:t>Prospectus</w:t>
            </w:r>
          </w:p>
        </w:tc>
        <w:tc>
          <w:tcPr>
            <w:tcW w:w="2180" w:type="dxa"/>
            <w:vAlign w:val="bottom"/>
          </w:tcPr>
          <w:p>
            <w:pPr>
              <w:spacing w:after="0"/>
              <w:rPr>
                <w:sz w:val="24"/>
                <w:szCs w:val="24"/>
                <w:color w:val="auto"/>
              </w:rPr>
            </w:pPr>
          </w:p>
        </w:tc>
      </w:tr>
      <w:tr>
        <w:trPr>
          <w:trHeight w:val="419"/>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ABOUT THIS PROSPECTUS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WHERE YOU CAN FIND MORE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9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4"/>
              </w:rPr>
              <w:t>DOCUMENTS INCORPORATED BY REFERENCE</w:t>
            </w:r>
          </w:p>
        </w:tc>
        <w:tc>
          <w:tcPr>
            <w:tcW w:w="4880" w:type="dxa"/>
            <w:vAlign w:val="bottom"/>
            <w:gridSpan w:val="5"/>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0" w:type="dxa"/>
            <w:vAlign w:val="bottom"/>
          </w:tcPr>
          <w:p>
            <w:pPr>
              <w:spacing w:after="0"/>
              <w:rPr>
                <w:sz w:val="24"/>
                <w:szCs w:val="24"/>
                <w:color w:val="auto"/>
              </w:rPr>
            </w:pPr>
          </w:p>
        </w:tc>
        <w:tc>
          <w:tcPr>
            <w:tcW w:w="63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6"/>
              </w:rPr>
              <w:t>CAUTIONARY STATEMENT REGARDING FORWARD-LOOKING STATEMENTS</w:t>
            </w:r>
          </w:p>
        </w:tc>
        <w:tc>
          <w:tcPr>
            <w:tcW w:w="244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20" w:type="dxa"/>
            <w:vAlign w:val="bottom"/>
          </w:tcPr>
          <w:p>
            <w:pPr>
              <w:spacing w:after="0"/>
              <w:rPr>
                <w:sz w:val="24"/>
                <w:szCs w:val="24"/>
                <w:color w:val="auto"/>
              </w:rPr>
            </w:pPr>
          </w:p>
        </w:tc>
        <w:tc>
          <w:tcPr>
            <w:tcW w:w="42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6"/>
              </w:rPr>
              <w:t>ABOUT GREENIDGE GENERATION HOLDINGS INC.</w:t>
            </w:r>
          </w:p>
        </w:tc>
        <w:tc>
          <w:tcPr>
            <w:tcW w:w="4540" w:type="dxa"/>
            <w:vAlign w:val="bottom"/>
            <w:gridSpan w:val="4"/>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RISK FACTORS</w:t>
            </w:r>
          </w:p>
        </w:tc>
        <w:tc>
          <w:tcPr>
            <w:tcW w:w="2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USE OF PROCEEDS</w:t>
            </w:r>
          </w:p>
        </w:tc>
        <w:tc>
          <w:tcPr>
            <w:tcW w:w="7200" w:type="dxa"/>
            <w:vAlign w:val="bottom"/>
            <w:gridSpan w:val="10"/>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PLAN OF DISTRIBUTION</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24"/>
                <w:szCs w:val="24"/>
                <w:color w:val="auto"/>
              </w:rPr>
            </w:pPr>
          </w:p>
        </w:tc>
        <w:tc>
          <w:tcPr>
            <w:tcW w:w="674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8"/>
                <w:szCs w:val="18"/>
                <w:color w:val="0000EE"/>
              </w:rPr>
              <w:t>EXPERTS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This prospectus supplement relates to the offering of shares of our class A common stock having an aggregate offering price of up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$22,800,000 from time to time pursuant to the sales agreement among the Company, B. Riley and Northland. Before buying any of the shares of class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that we are offering, we urge you to carefully read this prospectus supplement, together with the information incorporated by reference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described under the headings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Documents Incorporated by Reference</w:t>
      </w:r>
      <w:r>
        <w:rPr>
          <w:rFonts w:ascii="Arial" w:cs="Arial" w:eastAsia="Arial" w:hAnsi="Arial"/>
          <w:sz w:val="16"/>
          <w:szCs w:val="16"/>
          <w:color w:val="auto"/>
        </w:rPr>
        <w:t>” in this prospectus supplement,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accompanying prospectus and any free writing prospectus that we have authorized for use in connection with this offering. These documents contain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important information that you should consider when making your investment decision. In general, when we refer to the prospectus, we are referring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both the prospectus supplement and the accompanying prospectus combined.</w:t>
      </w:r>
    </w:p>
    <w:p>
      <w:pPr>
        <w:spacing w:after="0" w:line="211" w:lineRule="exact"/>
        <w:rPr>
          <w:sz w:val="20"/>
          <w:szCs w:val="20"/>
          <w:color w:val="auto"/>
        </w:rPr>
      </w:pPr>
    </w:p>
    <w:p>
      <w:pPr>
        <w:ind w:left="120" w:right="280" w:firstLine="991"/>
        <w:spacing w:after="0" w:line="272" w:lineRule="auto"/>
        <w:rPr>
          <w:sz w:val="20"/>
          <w:szCs w:val="20"/>
          <w:color w:val="auto"/>
        </w:rPr>
      </w:pPr>
      <w:r>
        <w:rPr>
          <w:rFonts w:ascii="Arial" w:cs="Arial" w:eastAsia="Arial" w:hAnsi="Arial"/>
          <w:sz w:val="17"/>
          <w:szCs w:val="17"/>
          <w:color w:val="auto"/>
        </w:rPr>
        <w:t>This prospectus supplement describes the terms of this offering of shares of class A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77"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We have not, and the sales agent has not, authorized any other person to provide you with information that is in addition to or different from that contained or incorporated by reference in this prospectus supplement, along with the information contained in any permitted free writing prospectuses we have authorized for use in connection with this offering. Neither we nor the sales agent take any responsibility for, or can provide any assurance as to the reliability of, any information other than the information contained or incorporated by reference in this prospectus supplement or any permitted free writing prospectuses we have authorized for use in connection with this offering.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or any earlier date specified for such information unless we indicate otherwise.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w:t>
      </w:r>
    </w:p>
    <w:p>
      <w:pPr>
        <w:spacing w:after="0" w:line="182" w:lineRule="exact"/>
        <w:rPr>
          <w:sz w:val="20"/>
          <w:szCs w:val="20"/>
          <w:color w:val="auto"/>
        </w:rPr>
      </w:pPr>
    </w:p>
    <w:p>
      <w:pPr>
        <w:jc w:val="both"/>
        <w:ind w:left="120" w:right="20" w:firstLine="991"/>
        <w:spacing w:after="0" w:line="272" w:lineRule="auto"/>
        <w:rPr>
          <w:sz w:val="20"/>
          <w:szCs w:val="20"/>
          <w:color w:val="auto"/>
        </w:rPr>
      </w:pPr>
      <w:r>
        <w:rPr>
          <w:rFonts w:ascii="Arial" w:cs="Arial" w:eastAsia="Arial" w:hAnsi="Arial"/>
          <w:sz w:val="17"/>
          <w:szCs w:val="17"/>
          <w:color w:val="auto"/>
        </w:rPr>
        <w:t>Information contained on, or accessible through, our website is not part of this prospectus supplement. We and the sales agent are offering to sell, and seeking offers to buy, shares of our class A common stock only in jurisdictions where offers and sales are permitted. The distribution of this prospectus supplement and the offering of our class A common stock in certain jurisdictions may be restricted by law. Persons outside the United States who come into possession of this prospectus supplement must inform themselves about, and observe any restrictions relating to, the offering of our class A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7"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Unless the context otherwise requires, throughout this prospectus supplement, the words “we,” “us,” the “registrant,” the “Company” or “Greenidge” refer to Greenidge Generation Holdings Inc. together with its consolidated subsidiaries and the term “securities” refers to the shares of our class A common stock registered hereunder.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This prospectus supplement and the documents incorporated or deemed to be incorporated by reference herein include certain statements that may constitute “forward-looking statements” within the meaning of Section 27A of the Securities Act, Section 21E of the Exchange Act and Private Securities Litigation Reform Act of 1995 (the “PSLRA”). All statements other than statements of historical fact are forward-looking statements for purposes of federal and state securities laws. These forward-looking statements involve uncertainties that could significantly affect our financial or operating results. These forward- 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Factors which may cause actual results to differ materially from current expectations include, but are not limited to:</w:t>
      </w:r>
    </w:p>
    <w:p>
      <w:pPr>
        <w:spacing w:after="0" w:line="87" w:lineRule="exact"/>
        <w:rPr>
          <w:sz w:val="20"/>
          <w:szCs w:val="20"/>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recognize the anticipated objectives and benefits of an expansion into multiple data centers in Texas;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negotiate or execute definitive documentation with respect to potential expansion sites on terms and conditions that are acceptable to Greenidge, whether on a timely basis or at all;</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applicable laws, regulations or permits affecting our operations or the industries in which we operate, including regulation regarding power generation, cryptocurrency usage and/or cryptocurrency mining;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failure by us to obtain acceptable financing with regard to our growth strategies or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substantial levels of indebtedness and current liquidity constraints;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and volatility in the price of bitcoin and other cryptocurrencies;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 of public confidence in, or use cases of, bitcoin and other cryptocurrencies;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of cryptocurrency market manipulation;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 carbon neutral datacenter operation;</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economics of mining cryptocurrency, including as to variables or factors affecting the cost, efficiency and profitability of datacenter operations;</w:t>
      </w:r>
    </w:p>
    <w:p>
      <w:pPr>
        <w:spacing w:after="0" w:line="75" w:lineRule="exact"/>
        <w:rPr>
          <w:rFonts w:ascii="Arial" w:cs="Arial" w:eastAsia="Arial" w:hAnsi="Arial"/>
          <w:sz w:val="18"/>
          <w:szCs w:val="18"/>
          <w:color w:val="auto"/>
        </w:rPr>
      </w:pPr>
    </w:p>
    <w:p>
      <w:pPr>
        <w:ind w:left="1080" w:right="80" w:hanging="532"/>
        <w:spacing w:after="0" w:line="308"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availability, delivery schedule and cost of equipment necessary to maintain and grow our business and operations, including datacenter equipment and equipment meeting the technical or other specifications required to achieve our growth strategy;</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time-consuming and costly nature of obtaining and complying with required government permits;</w:t>
      </w:r>
    </w:p>
    <w:p>
      <w:pPr>
        <w:spacing w:after="0" w:line="130"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 including factors affecting the industries in which we operate or upon which we rely and are dependent and factors currently affecting or that may affect our economy, such as the outbreak of hostilities between Russia and Ukraine;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expand successfully to other facilities, mine other cryptocurrencies or otherwise expand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regulations applicable to us, our assets or cryptocurrencies, including bitcoin;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litigation involving us, including governmental investigations, relating to our products or services;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costs and expenses relating to cryptocurrency transaction fees and fluctuation in cryptocurrency transaction fees;</w:t>
      </w:r>
    </w:p>
    <w:p>
      <w:pPr>
        <w:spacing w:after="0" w:line="130"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condition of our physical assets, including that our operating facility may realize material, if not total, loss and interference as a result of equipment malfunction or break-down, physical disaster, data security breach, computer malfunction or sabotage;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actual and potential impact of the COVID-19 pandemic.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40"/>
          </w:cols>
          <w:pgMar w:left="320" w:top="45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Consequently, all of the forward-looking statements made in this prospectus supplement are qualified by the information contained herein, including the information contained under this caption and the information under the section “</w:t>
      </w:r>
      <w:r>
        <w:rPr>
          <w:rFonts w:ascii="Arial" w:cs="Arial" w:eastAsia="Arial" w:hAnsi="Arial"/>
          <w:sz w:val="18"/>
          <w:szCs w:val="18"/>
          <w:i w:val="1"/>
          <w:iCs w:val="1"/>
          <w:color w:val="auto"/>
        </w:rPr>
        <w:t>Risk Factors</w:t>
      </w:r>
      <w:r>
        <w:rPr>
          <w:rFonts w:ascii="Arial" w:cs="Arial" w:eastAsia="Arial" w:hAnsi="Arial"/>
          <w:sz w:val="18"/>
          <w:szCs w:val="18"/>
          <w:color w:val="auto"/>
        </w:rPr>
        <w:t>” contained in this prospectus supplement and the accompanying prospectus, our most recent Annual Report on Form 10-K filed with the SEC, as supplemented by our Quarterly Reports on Form 10-Q, and discussed elsewhere in this prospectus supplement and in the documents incorporated by reference in this prospectus supplement. No assurance can be given that these are all of the factors that could cause actual results to vary materially from the forward-looking statements, whether written or oral, that may be made from time to time, whether as a result of new information, future events or otherwise, except as may be required by law.</w:t>
      </w:r>
    </w:p>
    <w:p>
      <w:pPr>
        <w:spacing w:after="0" w:line="195" w:lineRule="exact"/>
        <w:rPr>
          <w:sz w:val="20"/>
          <w:szCs w:val="20"/>
          <w:color w:val="auto"/>
        </w:rPr>
      </w:pPr>
    </w:p>
    <w:p>
      <w:pPr>
        <w:ind w:left="120" w:right="120" w:firstLine="991"/>
        <w:spacing w:after="0" w:line="275" w:lineRule="auto"/>
        <w:rPr>
          <w:sz w:val="20"/>
          <w:szCs w:val="20"/>
          <w:color w:val="auto"/>
        </w:rPr>
      </w:pPr>
      <w:r>
        <w:rPr>
          <w:rFonts w:ascii="Arial" w:cs="Arial" w:eastAsia="Arial" w:hAnsi="Arial"/>
          <w:sz w:val="17"/>
          <w:szCs w:val="17"/>
          <w:color w:val="auto"/>
        </w:rPr>
        <w:t>You should not put undue reliance on forward-looking statements. No assurances can be given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prospectus supplement. All forward-looking statements speak only as of the date of this prospectus supplement and we do not assume any duty to update or revise forward-looking statements, whether as a result of new information, future events, uncertainties or otherwise, as of any future date.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This summary highlights selected information contained elsewhere or incorporated by reference in this prospectus supplement and does not contain all the information that you need to consider in making your investment decision. You should carefully read this entire prospectus supplement and the accompanying prospectus, as well as the information to which we refer you and the information incorporated by reference herein, before deciding whether to invest in our class A common stock.</w:t>
      </w: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Greenidge Generation Holdings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Cryptocurrency Datacenter and Power Generation Segment</w:t>
      </w:r>
    </w:p>
    <w:p>
      <w:pPr>
        <w:spacing w:after="0" w:line="117"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We are a vertically integrated cryptocurrency datacenter and power generation company. We own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natural gas power generation facility. We generate all the power we require for our cryptocurrency datacenter operations in the New York Facility, where we enjoy relatively lower market prices for natural gas due to our access to the Millennium Gas Pipeline price hub. At the South Carolina Facility, we purchase power from a supplier of approximately 60% zero-carbon sourced energy. We believe our competitive advantages include relatively low fixed costs, an efficient mining fleet and in-house operational expertise. We are currently mining bitcoin and contributing to the security and transactability of the bitcoin ecosystem while concurrently supplying power to assist in meeting the power needs of homes and businesses in the region served by our New York Facility.</w:t>
      </w:r>
    </w:p>
    <w:p>
      <w:pPr>
        <w:spacing w:after="0" w:line="181" w:lineRule="exact"/>
        <w:rPr>
          <w:sz w:val="20"/>
          <w:szCs w:val="20"/>
          <w:color w:val="auto"/>
        </w:rPr>
      </w:pPr>
    </w:p>
    <w:p>
      <w:pPr>
        <w:ind w:left="300" w:right="100"/>
        <w:spacing w:after="0" w:line="290" w:lineRule="auto"/>
        <w:rPr>
          <w:sz w:val="20"/>
          <w:szCs w:val="20"/>
          <w:color w:val="auto"/>
        </w:rPr>
      </w:pPr>
      <w:r>
        <w:rPr>
          <w:rFonts w:ascii="Arial" w:cs="Arial" w:eastAsia="Arial" w:hAnsi="Arial"/>
          <w:sz w:val="16"/>
          <w:szCs w:val="16"/>
          <w:color w:val="auto"/>
        </w:rPr>
        <w:t>As of June 30, 2022, we powered approximately 83 MW of mining capacity capable of producing an estimated aggregate hash rate of 2.5 EH/s at our facilities, substantially all of which is dedicated to bitcoin mining. Our Cryptocurrency Datacenter and Power Generation segment generates revenue i) through the exchange of bitcoins earned by application-specific integrated circuit computers (“ASICs” or “miners”) as rewards and transaction fees for U.S. dollars and, to a much lesser extent, through revenue earned from third parties for hosting ASICs owned by third parties and providing operations, maintenance and other blockchain related services to third parties and ii) through the sale of electricity generated by our power plant, and not consumed in cryptocurrency datacenter operations, to New York State’s power grid at prices set on a daily basis through the New York Independent System Operator (“NYISO”) wholesale market. We opportunistically increase or decrease the total amount of electricity sold by the power plant based on prevailing prices in the wholesale electricity market.</w:t>
      </w:r>
    </w:p>
    <w:p>
      <w:pPr>
        <w:spacing w:after="0" w:line="165" w:lineRule="exact"/>
        <w:rPr>
          <w:sz w:val="20"/>
          <w:szCs w:val="20"/>
          <w:color w:val="auto"/>
        </w:rPr>
      </w:pPr>
    </w:p>
    <w:p>
      <w:pPr>
        <w:ind w:left="300" w:right="20"/>
        <w:spacing w:after="0" w:line="288" w:lineRule="auto"/>
        <w:rPr>
          <w:sz w:val="20"/>
          <w:szCs w:val="20"/>
          <w:color w:val="auto"/>
        </w:rPr>
      </w:pPr>
      <w:r>
        <w:rPr>
          <w:rFonts w:ascii="Arial" w:cs="Arial" w:eastAsia="Arial" w:hAnsi="Arial"/>
          <w:sz w:val="16"/>
          <w:szCs w:val="16"/>
          <w:color w:val="auto"/>
        </w:rPr>
        <w:t>We believe that, over the long-term, behind-the-meter power generation capability provides a stable, cost-effective source of power for cryptocurrency datacenter activities. Our behind-the-meter power generation capability provides us with stable delivery due to the absence of any contract negotiation risk with third-party power suppliers, the absence of transmission and distribution cost risk and the firm delivery of natural gas for our New York Facility via our captive pipeline. Furthermore, our New York Facility has operated with minimal downtime for maintenance and repairs over recent years. Notwithstanding the structural stability of our behind-the-meter capabilities, we do however procure natural gas at our New York Facility through a third-party energy manager which schedules delivery of our natural gas needs from the wholesale market which is subject to price volatility. We procure the majority of our natural gas at spot prices and enter into fixed price forward contracts from time to time for the purchase of a portion of anticipated natural gas purchases based on prevailing market conditions to partially mitigate the financial impacts of natural gas price volatility and to manage commodity risk. These forward contracts qualify for the normal purchases and sales exception under Accounting Standards Codification (“ASC”) 815, Derivatives and Hedging, as it is probable that these contracts will result in physical delivery.</w:t>
      </w:r>
    </w:p>
    <w:p>
      <w:pPr>
        <w:spacing w:after="0" w:line="2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20"/>
          </w:cols>
          <w:pgMar w:left="320" w:top="459" w:right="6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36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Support Services Segment</w:t>
      </w:r>
    </w:p>
    <w:p>
      <w:pPr>
        <w:spacing w:after="0" w:line="117" w:lineRule="exact"/>
        <w:rPr>
          <w:sz w:val="20"/>
          <w:szCs w:val="20"/>
          <w:color w:val="auto"/>
        </w:rPr>
      </w:pPr>
    </w:p>
    <w:p>
      <w:pPr>
        <w:jc w:val="both"/>
        <w:ind w:left="300" w:right="40"/>
        <w:spacing w:after="0" w:line="311" w:lineRule="auto"/>
        <w:rPr>
          <w:sz w:val="20"/>
          <w:szCs w:val="20"/>
          <w:color w:val="auto"/>
        </w:rPr>
      </w:pPr>
      <w:r>
        <w:rPr>
          <w:rFonts w:ascii="Arial" w:cs="Arial" w:eastAsia="Arial" w:hAnsi="Arial"/>
          <w:sz w:val="16"/>
          <w:szCs w:val="16"/>
          <w:color w:val="auto"/>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Support.com and Merger Sub.</w:t>
      </w:r>
    </w:p>
    <w:p>
      <w:pPr>
        <w:spacing w:after="0" w:line="149" w:lineRule="exact"/>
        <w:rPr>
          <w:sz w:val="20"/>
          <w:szCs w:val="20"/>
          <w:color w:val="auto"/>
        </w:rPr>
      </w:pPr>
    </w:p>
    <w:p>
      <w:pPr>
        <w:ind w:left="300" w:right="100"/>
        <w:spacing w:after="0" w:line="275" w:lineRule="auto"/>
        <w:rPr>
          <w:sz w:val="20"/>
          <w:szCs w:val="20"/>
          <w:color w:val="auto"/>
        </w:rPr>
      </w:pPr>
      <w:r>
        <w:rPr>
          <w:rFonts w:ascii="Arial" w:cs="Arial" w:eastAsia="Arial" w:hAnsi="Arial"/>
          <w:sz w:val="17"/>
          <w:szCs w:val="17"/>
          <w:color w:val="auto"/>
        </w:rPr>
        <w:t>Our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 through direct customer downloads and sale via partners. The Support Services segment operates primarily in the United States, but also has employees located in Philippines, India, Mexico, Columbia and Canada, including staff providing support services.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left="300" w:right="120"/>
        <w:spacing w:after="0" w:line="263" w:lineRule="auto"/>
        <w:rPr>
          <w:sz w:val="20"/>
          <w:szCs w:val="20"/>
          <w:color w:val="auto"/>
        </w:rPr>
      </w:pPr>
      <w:r>
        <w:rPr>
          <w:rFonts w:ascii="Arial" w:cs="Arial" w:eastAsia="Arial" w:hAnsi="Arial"/>
          <w:sz w:val="18"/>
          <w:szCs w:val="18"/>
          <w:color w:val="auto"/>
        </w:rPr>
        <w:t>Our principal executive offices are located at 135 Rennell Drive, 3rd Floor, Fairfield, CT 06890, and our telephone number is (203) 718-5960. We maintain a website at www.greenidge.com. Information on our website, or accessible through our website, is not incorporated by reference into or otherwise part of this prospectus supplement.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76" w:lineRule="exact"/>
        <w:rPr>
          <w:sz w:val="20"/>
          <w:szCs w:val="20"/>
          <w:color w:val="auto"/>
        </w:rPr>
      </w:pPr>
    </w:p>
    <w:p>
      <w:pPr>
        <w:ind w:left="700" w:hanging="307"/>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 404(b) of the Sarbanes-Oxley Act;</w:t>
      </w:r>
    </w:p>
    <w:p>
      <w:pPr>
        <w:spacing w:after="0" w:line="130" w:lineRule="exact"/>
        <w:rPr>
          <w:rFonts w:ascii="Arial" w:cs="Arial" w:eastAsia="Arial" w:hAnsi="Arial"/>
          <w:sz w:val="18"/>
          <w:szCs w:val="18"/>
          <w:color w:val="auto"/>
        </w:rPr>
      </w:pPr>
    </w:p>
    <w:p>
      <w:pPr>
        <w:ind w:left="700" w:right="180" w:hanging="307"/>
        <w:spacing w:after="0" w:line="263"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89" w:lineRule="exact"/>
        <w:rPr>
          <w:rFonts w:ascii="Arial" w:cs="Arial" w:eastAsia="Arial" w:hAnsi="Arial"/>
          <w:sz w:val="18"/>
          <w:szCs w:val="18"/>
          <w:color w:val="auto"/>
        </w:rPr>
      </w:pPr>
    </w:p>
    <w:p>
      <w:pPr>
        <w:ind w:left="700" w:hanging="307"/>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submit certain executive compensation matters to shareholder advisory votes, such as “say-on-pay,” “say-on-frequency” and pay ratio; and</w:t>
      </w:r>
    </w:p>
    <w:p>
      <w:pPr>
        <w:spacing w:after="0" w:line="153" w:lineRule="exact"/>
        <w:rPr>
          <w:rFonts w:ascii="Arial" w:cs="Arial" w:eastAsia="Arial" w:hAnsi="Arial"/>
          <w:sz w:val="16"/>
          <w:szCs w:val="16"/>
          <w:color w:val="auto"/>
        </w:rPr>
      </w:pPr>
    </w:p>
    <w:p>
      <w:pPr>
        <w:ind w:left="700" w:right="740" w:hanging="307"/>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70" w:lineRule="exact"/>
        <w:rPr>
          <w:sz w:val="20"/>
          <w:szCs w:val="20"/>
          <w:color w:val="auto"/>
        </w:rPr>
      </w:pPr>
    </w:p>
    <w:p>
      <w:pPr>
        <w:ind w:left="300" w:right="380"/>
        <w:spacing w:after="0" w:line="27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70"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65" w:lineRule="exact"/>
        <w:rPr>
          <w:sz w:val="20"/>
          <w:szCs w:val="20"/>
          <w:color w:val="auto"/>
        </w:rPr>
      </w:pPr>
    </w:p>
    <w:p>
      <w:pPr>
        <w:ind w:left="300" w:right="40"/>
        <w:spacing w:after="0" w:line="257" w:lineRule="auto"/>
        <w:rPr>
          <w:sz w:val="20"/>
          <w:szCs w:val="20"/>
          <w:color w:val="auto"/>
        </w:rPr>
      </w:pPr>
      <w:r>
        <w:rPr>
          <w:rFonts w:ascii="Arial" w:cs="Arial" w:eastAsia="Arial" w:hAnsi="Arial"/>
          <w:sz w:val="18"/>
          <w:szCs w:val="18"/>
          <w:color w:val="auto"/>
        </w:rPr>
        <w:t>We will remain an “emerging growth company” for up to five years, or until the earliest of (i) the last day of the first fiscal year in which our total annual gross revenues exceed $1.07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41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2841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advantage of certain reduced disclosure obligations, including, among other things, providing only two years of audited financial statements. We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will remain a smaller reporting company until the last day of the fiscal year in which (1) the market value of our common stock held by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non-affiliates equals or exceeds $250 million as of the end of that year’s second fiscal quarter, or (2) our annual revenues equaled or exceeded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 million during such completed fiscal year and the market value of our common stock held by non-affiliates equals or exceeds $700 million 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the end of that year’s second fiscal quarter.</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Company Exemption</w:t>
      </w:r>
    </w:p>
    <w:p>
      <w:pPr>
        <w:spacing w:after="0" w:line="121"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Atlas Capital Resources L.P. (“Atlas”) and its affiliates currently control approximately 90% of the voting power of our outstanding capital stock and have the power to elect a majority of our directors. Pursuant to Nasdaq listing standards, a company of which more than 50% of the voting power for the election of directors is held by an individual, a group or another company qualifies as a “controlled company.” As a controlled company, we are exempt from certain Nasdaq corporate governance requirements, including the requirements to have (i) a board comprised of a majority of independent directors; (ii) compensation of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If we cease to be a “controlled company” and our shares continue to be listed on the Nasdaq Global Select Market, we will be required to comply with these standards and, depending on the independence-determination with respect to our then-current directors, we may be required to add additional directors to our board in order to achieve such compliance within the applicable transition periods.</w:t>
      </w: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20"/>
          </w:cols>
          <w:pgMar w:left="320" w:top="459" w:right="6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4984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49847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Class A common stock offered by us:</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Manner of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Greenidge Generation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having an aggregate offering price of up to $22,800,000.</w:t>
      </w:r>
    </w:p>
    <w:p>
      <w:pPr>
        <w:spacing w:after="0" w:line="14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“At the market offering” that may be made from time to time through our sales agent. Please read “</w:t>
      </w:r>
      <w:r>
        <w:rPr>
          <w:rFonts w:ascii="Arial" w:cs="Arial" w:eastAsia="Arial" w:hAnsi="Arial"/>
          <w:sz w:val="17"/>
          <w:szCs w:val="17"/>
          <w:i w:val="1"/>
          <w:iCs w:val="1"/>
          <w:color w:val="auto"/>
        </w:rPr>
        <w:t>Plan of Distribution</w:t>
      </w:r>
      <w:r>
        <w:rPr>
          <w:rFonts w:ascii="Arial" w:cs="Arial" w:eastAsia="Arial" w:hAnsi="Arial"/>
          <w:sz w:val="17"/>
          <w:szCs w:val="17"/>
          <w:color w:val="auto"/>
        </w:rPr>
        <w:t>” in this prospectus supplement for more information.</w:t>
      </w:r>
    </w:p>
    <w:p>
      <w:pPr>
        <w:spacing w:after="0" w:line="34" w:lineRule="exact"/>
        <w:rPr>
          <w:sz w:val="20"/>
          <w:szCs w:val="20"/>
          <w:color w:val="auto"/>
        </w:rPr>
      </w:pPr>
    </w:p>
    <w:p>
      <w:pPr>
        <w:sectPr>
          <w:pgSz w:w="11900" w:h="16838" w:orient="portrait"/>
          <w:cols w:equalWidth="0" w:num="2">
            <w:col w:w="3420" w:space="720"/>
            <w:col w:w="70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322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800" w:type="dxa"/>
            <w:vAlign w:val="bottom"/>
          </w:tcPr>
          <w:p>
            <w:pPr>
              <w:ind w:left="800"/>
              <w:spacing w:after="0"/>
              <w:rPr>
                <w:sz w:val="20"/>
                <w:szCs w:val="20"/>
                <w:color w:val="auto"/>
              </w:rPr>
            </w:pPr>
            <w:r>
              <w:rPr>
                <w:rFonts w:ascii="Arial" w:cs="Arial" w:eastAsia="Arial" w:hAnsi="Arial"/>
                <w:sz w:val="18"/>
                <w:szCs w:val="18"/>
                <w:color w:val="auto"/>
              </w:rPr>
              <w:t>We currently plan to use the net proceeds from this offering, after deducting B. Riley’s</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2"/>
              </w:rPr>
              <w:t>commissions and offering expenses payable by us, for general corporate purposes, which may</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5"/>
              </w:rPr>
              <w:t>include, among other things, paying or refinancing all or a portion of our indebtedness at the</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4"/>
              </w:rPr>
              <w:t>time, and funding acquisitions, capital expenditures and working capital. Please read “</w:t>
            </w:r>
            <w:r>
              <w:rPr>
                <w:rFonts w:ascii="Arial" w:cs="Arial" w:eastAsia="Arial" w:hAnsi="Arial"/>
                <w:sz w:val="18"/>
                <w:szCs w:val="18"/>
                <w:i w:val="1"/>
                <w:iCs w:val="1"/>
                <w:color w:val="auto"/>
                <w:w w:val="94"/>
              </w:rPr>
              <w:t>Use of</w:t>
            </w:r>
          </w:p>
        </w:tc>
      </w:tr>
      <w:tr>
        <w:trPr>
          <w:trHeight w:val="230"/>
        </w:trPr>
        <w:tc>
          <w:tcPr>
            <w:tcW w:w="3220" w:type="dxa"/>
            <w:vAlign w:val="bottom"/>
          </w:tcPr>
          <w:p>
            <w:pPr>
              <w:spacing w:after="0"/>
              <w:rPr>
                <w:sz w:val="20"/>
                <w:szCs w:val="20"/>
                <w:color w:val="auto"/>
              </w:rPr>
            </w:pPr>
          </w:p>
        </w:tc>
        <w:tc>
          <w:tcPr>
            <w:tcW w:w="7800" w:type="dxa"/>
            <w:vAlign w:val="bottom"/>
          </w:tcPr>
          <w:p>
            <w:pPr>
              <w:ind w:left="800"/>
              <w:spacing w:after="0"/>
              <w:rPr>
                <w:sz w:val="20"/>
                <w:szCs w:val="20"/>
                <w:color w:val="auto"/>
              </w:rPr>
            </w:pPr>
            <w:r>
              <w:rPr>
                <w:rFonts w:ascii="Arial" w:cs="Arial" w:eastAsia="Arial" w:hAnsi="Arial"/>
                <w:sz w:val="18"/>
                <w:szCs w:val="18"/>
                <w:i w:val="1"/>
                <w:iCs w:val="1"/>
                <w:color w:val="auto"/>
              </w:rPr>
              <w:t>Proceeds</w:t>
            </w:r>
            <w:r>
              <w:rPr>
                <w:rFonts w:ascii="Arial" w:cs="Arial" w:eastAsia="Arial" w:hAnsi="Arial"/>
                <w:sz w:val="18"/>
                <w:szCs w:val="18"/>
                <w:color w:val="auto"/>
              </w:rPr>
              <w:t>” in this prospectus supplement for more information.</w:t>
            </w:r>
          </w:p>
        </w:tc>
      </w:tr>
      <w:tr>
        <w:trPr>
          <w:trHeight w:val="310"/>
        </w:trPr>
        <w:tc>
          <w:tcPr>
            <w:tcW w:w="3220" w:type="dxa"/>
            <w:vAlign w:val="bottom"/>
          </w:tcPr>
          <w:p>
            <w:pPr>
              <w:ind w:left="180"/>
              <w:spacing w:after="0"/>
              <w:rPr>
                <w:sz w:val="20"/>
                <w:szCs w:val="20"/>
                <w:color w:val="auto"/>
              </w:rPr>
            </w:pPr>
            <w:r>
              <w:rPr>
                <w:rFonts w:ascii="Arial" w:cs="Arial" w:eastAsia="Arial" w:hAnsi="Arial"/>
                <w:sz w:val="18"/>
                <w:szCs w:val="18"/>
                <w:b w:val="1"/>
                <w:bCs w:val="1"/>
                <w:color w:val="auto"/>
              </w:rPr>
              <w:t>Conflict of Interest:</w:t>
            </w:r>
          </w:p>
        </w:tc>
        <w:tc>
          <w:tcPr>
            <w:tcW w:w="7800" w:type="dxa"/>
            <w:vAlign w:val="bottom"/>
          </w:tcPr>
          <w:p>
            <w:pPr>
              <w:ind w:left="800"/>
              <w:spacing w:after="0"/>
              <w:rPr>
                <w:sz w:val="20"/>
                <w:szCs w:val="20"/>
                <w:color w:val="auto"/>
              </w:rPr>
            </w:pPr>
            <w:r>
              <w:rPr>
                <w:rFonts w:ascii="Arial" w:cs="Arial" w:eastAsia="Arial" w:hAnsi="Arial"/>
                <w:sz w:val="18"/>
                <w:szCs w:val="18"/>
                <w:color w:val="auto"/>
                <w:w w:val="96"/>
              </w:rPr>
              <w:t>On March 18, 2022, we issued a secured promissory note, as borrower, in favor of B. Riley</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Commercial Capital, LLC, an affiliate of B. Riley. With respect to any portion of the net</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9"/>
              </w:rPr>
              <w:t>proceeds from this offering we use to repay borrowings outstanding under such secured</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promissory note, B. Riley Principal Capital, LLC will receive any amount of the secured</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5"/>
              </w:rPr>
              <w:t>promissory note that is repaid with the net proceeds from this offering, and as such, B. Riley</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7"/>
              </w:rPr>
              <w:t>will have a “conflict of interest” in this offering of class A common stock within the meaning</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5"/>
              </w:rPr>
              <w:t>of FINRA Rule 5121. Consequently, this offering of class A common stock will be conducted</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in compliance with the provisions of FINRA Rule 5121. Due to this conflict of interest,</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6"/>
              </w:rPr>
              <w:t>Northland is acting as a “qualified independent underwriter” in accordance with FINRA Rule</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3"/>
              </w:rPr>
              <w:t>5121, which requires, among other things, that a qualified independent underwriter participate</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5"/>
              </w:rPr>
              <w:t>in the preparation of, and exercise the usual standards of “due diligence” with respect to the</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registration statement and this prospectus supplement and accompanying prospectus.</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5"/>
              </w:rPr>
              <w:t>Northland will not receive any additional compensation for acting as a qualified independent</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8"/>
              </w:rPr>
              <w:t>underwriter. We have agreed to indemnify Northland for acting as a qualified independent</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6"/>
              </w:rPr>
              <w:t>underwriter against certain liabilities under the Securities Act and to contribute to payments</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that Northland may be required to make for these liabilities. In addition, B. Riley will not</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w w:val="94"/>
              </w:rPr>
              <w:t>make sales of shares in this offering to any of its discretionary accounts without receiving the</w:t>
            </w:r>
          </w:p>
        </w:tc>
      </w:tr>
      <w:tr>
        <w:trPr>
          <w:trHeight w:val="216"/>
        </w:trPr>
        <w:tc>
          <w:tcPr>
            <w:tcW w:w="3220" w:type="dxa"/>
            <w:vAlign w:val="bottom"/>
          </w:tcPr>
          <w:p>
            <w:pPr>
              <w:spacing w:after="0"/>
              <w:rPr>
                <w:sz w:val="18"/>
                <w:szCs w:val="18"/>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specific prior written approval of the account holder and retaining such approval in its</w:t>
            </w:r>
          </w:p>
        </w:tc>
      </w:tr>
      <w:tr>
        <w:trPr>
          <w:trHeight w:val="230"/>
        </w:trPr>
        <w:tc>
          <w:tcPr>
            <w:tcW w:w="3220" w:type="dxa"/>
            <w:vAlign w:val="bottom"/>
          </w:tcPr>
          <w:p>
            <w:pPr>
              <w:spacing w:after="0"/>
              <w:rPr>
                <w:sz w:val="20"/>
                <w:szCs w:val="20"/>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records.</w:t>
            </w:r>
          </w:p>
        </w:tc>
      </w:tr>
      <w:tr>
        <w:trPr>
          <w:trHeight w:val="310"/>
        </w:trPr>
        <w:tc>
          <w:tcPr>
            <w:tcW w:w="3220" w:type="dxa"/>
            <w:vAlign w:val="bottom"/>
          </w:tcPr>
          <w:p>
            <w:pPr>
              <w:ind w:left="180"/>
              <w:spacing w:after="0"/>
              <w:rPr>
                <w:sz w:val="20"/>
                <w:szCs w:val="20"/>
                <w:color w:val="auto"/>
              </w:rPr>
            </w:pPr>
            <w:r>
              <w:rPr>
                <w:rFonts w:ascii="Arial" w:cs="Arial" w:eastAsia="Arial" w:hAnsi="Arial"/>
                <w:sz w:val="18"/>
                <w:szCs w:val="18"/>
                <w:b w:val="1"/>
                <w:bCs w:val="1"/>
                <w:color w:val="auto"/>
              </w:rPr>
              <w:t>Exchange listing and symbol:</w:t>
            </w:r>
          </w:p>
        </w:tc>
        <w:tc>
          <w:tcPr>
            <w:tcW w:w="7800" w:type="dxa"/>
            <w:vAlign w:val="bottom"/>
          </w:tcPr>
          <w:p>
            <w:pPr>
              <w:ind w:left="800"/>
              <w:spacing w:after="0"/>
              <w:rPr>
                <w:sz w:val="20"/>
                <w:szCs w:val="20"/>
                <w:color w:val="auto"/>
              </w:rPr>
            </w:pPr>
            <w:r>
              <w:rPr>
                <w:rFonts w:ascii="Arial" w:cs="Arial" w:eastAsia="Arial" w:hAnsi="Arial"/>
                <w:sz w:val="18"/>
                <w:szCs w:val="18"/>
                <w:color w:val="auto"/>
                <w:w w:val="97"/>
              </w:rPr>
              <w:t>Our class A common stock is listed on the Nasdaq Global Select Market under the symbol</w:t>
            </w:r>
          </w:p>
        </w:tc>
      </w:tr>
      <w:tr>
        <w:trPr>
          <w:trHeight w:val="230"/>
        </w:trPr>
        <w:tc>
          <w:tcPr>
            <w:tcW w:w="3220" w:type="dxa"/>
            <w:vAlign w:val="bottom"/>
          </w:tcPr>
          <w:p>
            <w:pPr>
              <w:spacing w:after="0"/>
              <w:rPr>
                <w:sz w:val="20"/>
                <w:szCs w:val="20"/>
                <w:color w:val="auto"/>
              </w:rPr>
            </w:pPr>
          </w:p>
        </w:tc>
        <w:tc>
          <w:tcPr>
            <w:tcW w:w="7800" w:type="dxa"/>
            <w:vAlign w:val="bottom"/>
          </w:tcPr>
          <w:p>
            <w:pPr>
              <w:ind w:left="800"/>
              <w:spacing w:after="0"/>
              <w:rPr>
                <w:sz w:val="20"/>
                <w:szCs w:val="20"/>
                <w:color w:val="auto"/>
              </w:rPr>
            </w:pPr>
            <w:r>
              <w:rPr>
                <w:rFonts w:ascii="Arial" w:cs="Arial" w:eastAsia="Arial" w:hAnsi="Arial"/>
                <w:sz w:val="18"/>
                <w:szCs w:val="18"/>
                <w:color w:val="auto"/>
              </w:rPr>
              <w:t>“GREE.”</w:t>
            </w:r>
          </w:p>
        </w:tc>
      </w:tr>
      <w:tr>
        <w:trPr>
          <w:trHeight w:val="159"/>
        </w:trPr>
        <w:tc>
          <w:tcPr>
            <w:tcW w:w="3220" w:type="dxa"/>
            <w:vAlign w:val="bottom"/>
            <w:tcBorders>
              <w:bottom w:val="single" w:sz="8" w:color="auto"/>
            </w:tcBorders>
          </w:tcPr>
          <w:p>
            <w:pPr>
              <w:spacing w:after="0"/>
              <w:rPr>
                <w:sz w:val="13"/>
                <w:szCs w:val="13"/>
                <w:color w:val="auto"/>
              </w:rPr>
            </w:pPr>
          </w:p>
        </w:tc>
        <w:tc>
          <w:tcPr>
            <w:tcW w:w="7800" w:type="dxa"/>
            <w:vAlign w:val="bottom"/>
            <w:tcBorders>
              <w:bottom w:val="single" w:sz="8" w:color="auto"/>
            </w:tcBorders>
          </w:tcPr>
          <w:p>
            <w:pPr>
              <w:spacing w:after="0"/>
              <w:rPr>
                <w:sz w:val="13"/>
                <w:szCs w:val="13"/>
                <w:color w:val="auto"/>
              </w:rPr>
            </w:pPr>
          </w:p>
        </w:tc>
      </w:tr>
      <w:tr>
        <w:trPr>
          <w:trHeight w:val="361"/>
        </w:trPr>
        <w:tc>
          <w:tcPr>
            <w:tcW w:w="3220" w:type="dxa"/>
            <w:vAlign w:val="bottom"/>
          </w:tcPr>
          <w:p>
            <w:pPr>
              <w:spacing w:after="0"/>
              <w:rPr>
                <w:sz w:val="24"/>
                <w:szCs w:val="24"/>
                <w:color w:val="auto"/>
              </w:rPr>
            </w:pPr>
          </w:p>
        </w:tc>
        <w:tc>
          <w:tcPr>
            <w:tcW w:w="7800" w:type="dxa"/>
            <w:vAlign w:val="bottom"/>
          </w:tcPr>
          <w:p>
            <w:pPr>
              <w:ind w:left="216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1881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188150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0"/>
        <w:spacing w:after="0" w:line="282" w:lineRule="auto"/>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material U.S. federal income tax considerations generally applicable to the ownership and disposition of our class A common stock acquired in this offering by a non-U.S. Holder are described in “</w:t>
      </w:r>
      <w:r>
        <w:rPr>
          <w:rFonts w:ascii="Arial" w:cs="Arial" w:eastAsia="Arial" w:hAnsi="Arial"/>
          <w:sz w:val="18"/>
          <w:szCs w:val="18"/>
          <w:i w:val="1"/>
          <w:iCs w:val="1"/>
          <w:color w:val="auto"/>
        </w:rPr>
        <w:t>Material U.S. Federal Income Tax Considerations for Non-U.S. Holders</w:t>
      </w:r>
      <w:r>
        <w:rPr>
          <w:rFonts w:ascii="Arial" w:cs="Arial" w:eastAsia="Arial" w:hAnsi="Arial"/>
          <w:sz w:val="18"/>
          <w:szCs w:val="18"/>
          <w:color w:val="auto"/>
        </w:rPr>
        <w:t>.” Each non-U.S. holder is urged to consult its tax advisors regarding the U.S. federal, state, local, and non-U.S. income and other tax consequences to it of owning and disposing of our class A common stock.</w:t>
      </w:r>
    </w:p>
    <w:p>
      <w:pPr>
        <w:spacing w:after="0" w:line="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Investing in our class A common stock involves risks. Please read “</w:t>
      </w:r>
      <w:r>
        <w:rPr>
          <w:rFonts w:ascii="Arial" w:cs="Arial" w:eastAsia="Arial" w:hAnsi="Arial"/>
          <w:sz w:val="16"/>
          <w:szCs w:val="16"/>
          <w:i w:val="1"/>
          <w:iCs w:val="1"/>
          <w:color w:val="auto"/>
        </w:rPr>
        <w:t>Risk Factors</w:t>
      </w:r>
      <w:r>
        <w:rPr>
          <w:rFonts w:ascii="Arial" w:cs="Arial" w:eastAsia="Arial" w:hAnsi="Arial"/>
          <w:sz w:val="16"/>
          <w:szCs w:val="16"/>
          <w:color w:val="auto"/>
        </w:rPr>
        <w:t>” on page S-9 of this prospectus supplement, page 8 of the accompanying prospectus and in the documents that we have incorporated by reference, as well as the other cautionary statements throughout this prospectus supplement and the accompanying prospectus, for a discussion of factors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960" w:space="180"/>
            <w:col w:w="6800"/>
          </w:cols>
          <w:pgMar w:left="320" w:top="459" w:right="639" w:bottom="1440" w:gutter="0" w:footer="0" w:header="0"/>
          <w:type w:val="continuous"/>
        </w:sectPr>
      </w:pPr>
    </w:p>
    <w:p>
      <w:pPr>
        <w:spacing w:after="0" w:line="69"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S-8</w:t>
      </w:r>
    </w:p>
    <w:p>
      <w:pPr>
        <w:sectPr>
          <w:pgSz w:w="11900" w:h="16838" w:orient="portrait"/>
          <w:cols w:equalWidth="0" w:num="1">
            <w:col w:w="10940"/>
          </w:cols>
          <w:pgMar w:left="320" w:top="459" w:right="6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You should carefully consider the risks described below together with the risk factors described in reports we file with the SEC and incorporated by reference into the accompanying prospectus, as well as all of the other information in, and incorporated by reference into, this prospectus supplement and the accompanying prospectus, including in our Annual Report on Form 10-K for the year ended December 31, 2021, as supplemented by our Quarterly Reports on Form 10-Q. If any of the risks actually occur, our business, financial condition or results of operations could suffer. In that event, you may lose all or part of your investment in our class A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It is not possible to predict the actual number of shares we will sell under the sales agreement, or the actual gross proceeds resulting from those sales.</w:t>
      </w:r>
    </w:p>
    <w:p>
      <w:pPr>
        <w:spacing w:after="0" w:line="62" w:lineRule="exact"/>
        <w:rPr>
          <w:sz w:val="20"/>
          <w:szCs w:val="20"/>
          <w:color w:val="auto"/>
        </w:rPr>
      </w:pPr>
    </w:p>
    <w:p>
      <w:pPr>
        <w:ind w:left="120" w:right="80" w:firstLine="991"/>
        <w:spacing w:after="0" w:line="254"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B. Riley at any time throughout the term of the sales agreement. The number of shares that are sold through B. Riley after delivering a placement notice will fluctuate based on a number of factors, including the market price of our class A common stock during the sales period, the limits we set with B. Riley in any applicable placement notice, and the demand for our class A common stock during the sales period. Actual gross proceeds may be less than $22,800,000, which may impact our future liquidity. Because the price per share of each share sold will fluctuate during the sales period, it is not currently possible to predict the number of shares that will be sold or the actual gross proceeds to be raised in connection with those sales.</w:t>
      </w:r>
    </w:p>
    <w:p>
      <w:pPr>
        <w:spacing w:after="0" w:line="30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class A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sales price above par value or maximum sales price for shares to be sold in this offering. Investors may experience a decline in the value of the shares they purchase in this offering as a result of sales made at prices lower than the prices they paid.</w:t>
      </w:r>
    </w:p>
    <w:p>
      <w:pPr>
        <w:spacing w:after="0" w:line="29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Investors may experience dilution as a result of this offering and future offerings of our class A common stock, preferred stock or other equity securities, which may adversely affect the per-share trading price of our class A common stock.</w:t>
      </w:r>
    </w:p>
    <w:p>
      <w:pPr>
        <w:spacing w:after="0" w:line="62"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This offering may have a dilutive effect on our earnings per share and funds from operations per share after giving effect to the issuance of our class A common stock in this offering and the receipt of the expected net proceeds. Our board of directors may authorize the issuance of additional authorized but unissued shares of common stock or other securities at any time, including pursuant to equity incentive plans. The actual amount of dilution from this offering, or from any future offering of common or preferred stock or other equity securities, will be based on numerous factors, particularly the use of proceeds and the return generated by such investment, and cannot be determined at this time. The per-share trading price of our class A common stock could decline as a result of sales of a large number of shares of our class A common stock in the market pursuant to this offering, or otherwise, or as a result of the perception or expectation that such sales could occur.</w:t>
      </w:r>
    </w:p>
    <w:p>
      <w:pPr>
        <w:spacing w:after="0" w:line="28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Future issuances of debt securities, which would be senior to our class A common stock upon liquidation, or preferred equity securities, which would be senior to our class A common stock for purposes of dividend distributions and upon liquidation, may adversely affect the per-share trading price of our class A common stock.</w:t>
      </w:r>
    </w:p>
    <w:p>
      <w:pPr>
        <w:spacing w:after="0" w:line="76" w:lineRule="exact"/>
        <w:rPr>
          <w:sz w:val="20"/>
          <w:szCs w:val="20"/>
          <w:color w:val="auto"/>
        </w:rPr>
      </w:pPr>
    </w:p>
    <w:p>
      <w:pPr>
        <w:jc w:val="both"/>
        <w:ind w:left="120" w:right="120" w:firstLine="991"/>
        <w:spacing w:after="0" w:line="272" w:lineRule="auto"/>
        <w:rPr>
          <w:sz w:val="20"/>
          <w:szCs w:val="20"/>
          <w:color w:val="auto"/>
        </w:rPr>
      </w:pPr>
      <w:r>
        <w:rPr>
          <w:rFonts w:ascii="Arial" w:cs="Arial" w:eastAsia="Arial" w:hAnsi="Arial"/>
          <w:sz w:val="17"/>
          <w:szCs w:val="17"/>
          <w:color w:val="auto"/>
        </w:rPr>
        <w:t>We may in the future attempt to increase our capital resources by issuing additional debt securities and/or additional classes or series of preferred stock. Upon liquidation, holders of our debt securities and lenders with respect to our borrowings, and holders of our preferred stock, will be entitled to receive our available assets prior to distribution to the holders of our class A common stock. Additionally, any convertible or exchangeable securities that we issue in the future may have rights, preferences and privileges more favorable than those of our class A common stock. Because our decision to issue securities senior to our class A common stock in the future will depend on market conditions and other factors beyond our control, we cannot predict or estimate the amount, timing or nature of future issuances. As a result, holders of our class A common stock bear the risk of our future securities issuances reducing the per-share trading price of our class A common stock.</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affiliate of B. Riley may receive benefits in connection with this offering.</w:t>
      </w:r>
    </w:p>
    <w:p>
      <w:pPr>
        <w:spacing w:after="0" w:line="11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On March 18, 2022, we issued a secured promissory note, as borrower, in favor of B. Riley Commercial Capital, LLC, an affiliate of B. Riley. To the extent that we elect to use a portion of the net proceeds from this offering to repay borrowings outstanding under secured promissory note, B. Riley Principal Capital, LLC will receive any amount of the secured promissory note that is repaid with the net proceeds from this offering. These transactions create potential conflicts of interest because B. Riley Principal Capital, LLC has an interest in the successful completion of this offering beyond the sales commissions its affiliate, B. Riley, will receive. These interests may influence the decision regarding the terms and circumstances under which the offering is completed.</w:t>
      </w:r>
    </w:p>
    <w:p>
      <w:pPr>
        <w:spacing w:after="0" w:line="3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Future sales of substantial amounts of our class A common stock, or the possibility that such sales could occur, could adversely affect the market price of our class A common stock.</w:t>
      </w:r>
    </w:p>
    <w:p>
      <w:pPr>
        <w:spacing w:after="0" w:line="62"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In order 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w:t>
      </w:r>
    </w:p>
    <w:p>
      <w:pPr>
        <w:spacing w:after="0" w:line="28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this offering, and such uses may not improve our financial condition or market value.</w:t>
      </w:r>
    </w:p>
    <w:p>
      <w:pPr>
        <w:spacing w:after="0" w:line="62" w:lineRule="exact"/>
        <w:rPr>
          <w:sz w:val="20"/>
          <w:szCs w:val="20"/>
          <w:color w:val="auto"/>
        </w:rPr>
      </w:pPr>
    </w:p>
    <w:p>
      <w:pPr>
        <w:jc w:val="both"/>
        <w:ind w:left="120" w:firstLine="991"/>
        <w:spacing w:after="0" w:line="287" w:lineRule="auto"/>
        <w:rPr>
          <w:sz w:val="20"/>
          <w:szCs w:val="20"/>
          <w:color w:val="auto"/>
        </w:rPr>
      </w:pPr>
      <w:r>
        <w:rPr>
          <w:rFonts w:ascii="Arial" w:cs="Arial" w:eastAsia="Arial" w:hAnsi="Arial"/>
          <w:sz w:val="16"/>
          <w:szCs w:val="16"/>
          <w:color w:val="auto"/>
        </w:rPr>
        <w:t>Because we have not designated the amount of net proceeds from this offering to be used for any particular purpose, our management will have broad discretion as to the application of the net proceeds from this offering and could use such proceeds for purposes other than those contemplated at the time of the offering. Our stockholders may not agree with the manner in which our management chooses to allocate and spend the net proceeds.</w:t>
      </w:r>
    </w:p>
    <w:p>
      <w:pPr>
        <w:spacing w:after="0" w:line="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Moreover, our management may use the net proceeds for corporate purposes that may not improve our financial condition or the market value of our class A common stock. Our failure to apply these funds effectively could have a material adverse effect on our business, financial condition and results of operations.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The amount of proceeds from this offering will depend upon the number of shares of our class A common stock sold and the market price at which they are sold. There can be no assurance that we will be able to sell any shares under or fully utilize the sales agreement with the sales agent.</w:t>
      </w:r>
    </w:p>
    <w:p>
      <w:pPr>
        <w:spacing w:after="0" w:line="124"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We currently plan to use the net proceeds from this offering, after deducting B. Riley’s commissions and offering expenses payable by us, for general corporate purposes, which may include, among other things, paying or refinancing all or a portion of our indebtedness at the time, and funding acquisitions, capital expenditures and working capital.</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20"/>
          </w:cols>
          <w:pgMar w:left="320" w:top="459" w:right="5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 (CONFLICT OF INTEREST)</w:t>
      </w:r>
    </w:p>
    <w:p>
      <w:pPr>
        <w:spacing w:after="0" w:line="229"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We have entered into a sales agreement with B. Riley and Northland. This prospectus supplement relates to the offering of shares of our class A common stock having an aggregate offering price of up to $22,800,000 from time to time. B. Riley will use its commercially reasonable efforts to sell on our behalf the shares of our class A common stock requested to be sold by us, consistent with its normal trading and sales practices, under the terms and subject to the conditions set forth in the sales agreement. We have no obligation to sell any shares of our class A common stock under the sales agreement. We may instruct B. Riley not to sell our class A common stock if the sales cannot be effected at or above the price designated by us in any instruction to B. Riley. We or B. Riley may suspend the offering of our class A common stock upon proper notice and subject to other conditions, as specified in the sales agreement.</w:t>
      </w:r>
    </w:p>
    <w:p>
      <w:pPr>
        <w:spacing w:after="0" w:line="177"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B. Riley may sell our class A common stock by any method permitted by law deemed to be an “at the market offering” as defined in Rule 415(a)(4) promulgated under the Securities Act. B. Riley will provide written confirmation of a sale to us as soon as practicable after the closing of the trading day on Nasdaq on which it has made sales of the class A common stock pursuant to the sales agreement. Each confirmation will include the number of shares of class A common stock sold on such day, the net proceeds to us and the compensation payable by us to B. Riley in connection with the sales.</w:t>
      </w:r>
    </w:p>
    <w:p>
      <w:pPr>
        <w:spacing w:after="0" w:line="188" w:lineRule="exact"/>
        <w:rPr>
          <w:sz w:val="20"/>
          <w:szCs w:val="20"/>
          <w:color w:val="auto"/>
        </w:rPr>
      </w:pPr>
    </w:p>
    <w:p>
      <w:pPr>
        <w:ind w:left="120" w:right="120" w:firstLine="991"/>
        <w:spacing w:after="0" w:line="286" w:lineRule="auto"/>
        <w:rPr>
          <w:sz w:val="20"/>
          <w:szCs w:val="20"/>
          <w:color w:val="auto"/>
        </w:rPr>
      </w:pPr>
      <w:r>
        <w:rPr>
          <w:rFonts w:ascii="Arial" w:cs="Arial" w:eastAsia="Arial" w:hAnsi="Arial"/>
          <w:sz w:val="17"/>
          <w:szCs w:val="17"/>
          <w:color w:val="auto"/>
        </w:rPr>
        <w:t>Under the terms of the sales agreement, we may also sell shares of class A common stock to B. Riley as principal for its own account at a price agreed upon at the time of sale. If we sell class A common stock to B. Riley as principal, we will enter into a separate terms agreement with B. Riley, and we will describe that agreement in a separate prospectus supplement or pricing supplement.</w:t>
      </w:r>
    </w:p>
    <w:p>
      <w:pPr>
        <w:spacing w:after="0" w:line="165"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We will pay B. Riley commissions for its services in acting as sales agent in the sale of our class A common stock. B. Riley will be entitled to compensation in an amount equal to up to 5.0% of the gross proceeds of all class A common stock sold through it as sales agent under the sales agreement. We have also agreed to reimburse B. Riley for actual outside legal expenses incurred by B. Riley in connection with this offering, including B. Riley’s counsel fees initially in an amount up to $60,000, plus an additional amount of $10,000 for each quarterly period thereafter. We estimate that the total expenses for this offering, excluding compensation payable to B. Riley under the terms of the sales agreement, will be approximately $500,000.</w:t>
      </w:r>
    </w:p>
    <w:p>
      <w:pPr>
        <w:spacing w:after="0" w:line="16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Settlement for sales of our class A common stock will occur on the second trading day following the date on which any sales are made, or on some other date that is agreed upon by us and B. Riley in connection with a particular transaction,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We will report at least quarterly the number of shares of our class A common stock sold through B. Riley, as sales agent, under the sales agreement, the net proceeds to us and the compensation paid by us to B. Riley in connection with any sales.</w:t>
      </w:r>
    </w:p>
    <w:p>
      <w:pPr>
        <w:spacing w:after="0" w:line="170"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In connection with the sale of our class A common stock on our behalf, B. Riley will be deemed to be an “underwriter” within the meaning of the Securities Act, and the compensation paid by us to B. Riley will be deemed to be underwriting commissions or discounts. We have agreed to indemnify B. Riley against specified liabilities, including liabilities under the Securities Act and the Exchange Act, and to contribute to payments that B. Riley may be required to make because of such liabilities.</w:t>
      </w:r>
    </w:p>
    <w:p>
      <w:pPr>
        <w:spacing w:after="0" w:line="187" w:lineRule="exact"/>
        <w:rPr>
          <w:sz w:val="20"/>
          <w:szCs w:val="20"/>
          <w:color w:val="auto"/>
        </w:rPr>
      </w:pPr>
    </w:p>
    <w:p>
      <w:pPr>
        <w:ind w:left="120" w:right="300" w:firstLine="991"/>
        <w:spacing w:after="0" w:line="342" w:lineRule="auto"/>
        <w:rPr>
          <w:sz w:val="20"/>
          <w:szCs w:val="20"/>
          <w:color w:val="auto"/>
        </w:rPr>
      </w:pPr>
      <w:r>
        <w:rPr>
          <w:rFonts w:ascii="Arial" w:cs="Arial" w:eastAsia="Arial" w:hAnsi="Arial"/>
          <w:sz w:val="16"/>
          <w:szCs w:val="16"/>
          <w:color w:val="auto"/>
        </w:rPr>
        <w:t>The offering of the shares of class A common stock pursuant to the sales agreement will terminate upon the earlier of (i) the sale of the dollar amount of shares of class A common stock subject to the sales agreement or (ii) the termination of the sales agreement as permitted therein.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120" w:firstLine="991"/>
        <w:spacing w:after="0" w:line="311" w:lineRule="auto"/>
        <w:rPr>
          <w:sz w:val="20"/>
          <w:szCs w:val="20"/>
          <w:color w:val="auto"/>
        </w:rPr>
      </w:pPr>
      <w:r>
        <w:rPr>
          <w:rFonts w:ascii="Arial" w:cs="Arial" w:eastAsia="Arial" w:hAnsi="Arial"/>
          <w:sz w:val="16"/>
          <w:szCs w:val="16"/>
          <w:color w:val="auto"/>
        </w:rPr>
        <w:t>B. Riley and its affiliates have from time to time provided, and may in the future provide, various investment banking, commercial banking, fiduciary and advisory services for us for which they have received, and may in the future receive, customary fees and expenses. B. Riley and its affiliates may from time to time engage in other transactions with and perform services for us in the ordinary course of their business.</w:t>
      </w:r>
    </w:p>
    <w:p>
      <w:pPr>
        <w:spacing w:after="0" w:line="149"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In the ordinary course of its various business activities, B. Riley and certain of its affiliates actively trade debt and equity securities (or related derivative securities) and financial instruments for their own account and for the accounts of their customers, and such investment and securities activities may involve securities and/or instruments of the Company or our affiliates. B. Riley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principal business address of B. Riley is 299 Park Avenue, 21st Floor, New York, New York 10171.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 of Interest</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On March 18, 2022, we issued a secured promissory note, as borrower, in favor of B. Riley Commercial Capital, LLC, an affiliate of B. Riley. With respect to any portion of the net proceeds from this offering we use to repay borrowings outstanding under such secured promissory note, B. Riley Principal Capital, LLC will receive any amount of the secured promissory note that is repaid with the net proceeds from this offering, and as such, B. Riley will have a “conflict of interest” in this offering of class A common stock within the meaning of FINRA Rule 5121. Consequently, this offering of class A common stock will be conducted in compliance with the provisions of FINRA Rule 5121. Due to this conflict of interest, Northland is acting as a “qualified independent underwriter” in accordance with FINRA Rule 5121, which requires, among other things, that a qualified independent underwriter participate in the preparation of, and exercise the usual standards of “due diligence” with respect to the registration statement and this prospectus supplement and the accompanying prospectus. Northland will not receive any additional compensation for acting as a qualified independent underwriter. We have agreed to indemnify Northland for acting as a qualified independent underwriter against certain liabilities, including liabilities under the Securities Act and to contribute to payments that Northland may be required to make for these liabilities. In addition, B. Riley will not make sales of shares in this offering to any of its discretionary accounts without receiving the specific prior written approval of the account holder and retaining such approval in its records.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purchase, ownership and disposition of our class A common stock.</w:t>
      </w:r>
    </w:p>
    <w:p>
      <w:pPr>
        <w:spacing w:after="0" w:line="178" w:lineRule="exact"/>
        <w:rPr>
          <w:sz w:val="20"/>
          <w:szCs w:val="20"/>
          <w:color w:val="auto"/>
        </w:rPr>
      </w:pPr>
    </w:p>
    <w:p>
      <w:pPr>
        <w:ind w:left="120" w:right="180" w:firstLine="991"/>
        <w:spacing w:after="0" w:line="272" w:lineRule="auto"/>
        <w:rPr>
          <w:sz w:val="20"/>
          <w:szCs w:val="20"/>
          <w:color w:val="auto"/>
        </w:rPr>
      </w:pPr>
      <w:r>
        <w:rPr>
          <w:rFonts w:ascii="Arial" w:cs="Arial" w:eastAsia="Arial" w:hAnsi="Arial"/>
          <w:sz w:val="17"/>
          <w:szCs w:val="17"/>
          <w:color w:val="auto"/>
        </w:rPr>
        <w:t>This summary is based on provisions of the Internal Revenue Code of 1986, as amended (the “Code”), applicable U.S. Treasury regulations and administrative and judicial interpretations, all as in effect or in existence on the date of this prospectus supplement.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Internal Revenue Service (the “IRS”) will not take a contrary position with respect to one or more of the tax consequences described herein and we have not obtained, nor do we intend to obtain, a ruling from the IRS with respect to the U.S. federal income or estate tax consequences of the purchase, ownership or disposition of our class A common stock.</w:t>
      </w:r>
    </w:p>
    <w:p>
      <w:pPr>
        <w:spacing w:after="0" w:line="177"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76"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1080" w:right="220" w:hanging="532"/>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184"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class A common stock should consult their own tax advisors as to the particular U.S. federal income and estate tax consequences of purchasing, owning and disposing of our class A common stock that are applicable to them.</w:t>
      </w:r>
    </w:p>
    <w:p>
      <w:pPr>
        <w:spacing w:after="0" w:line="157"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This summary does not consider any specific facts or circumstances that may apply to a Non-U.S. Holder and does not address any special tax rules that may apply to particular Non-U.S. Holders, such as:</w:t>
      </w:r>
    </w:p>
    <w:p>
      <w:pPr>
        <w:spacing w:after="0" w:line="76" w:lineRule="exact"/>
        <w:rPr>
          <w:sz w:val="20"/>
          <w:szCs w:val="20"/>
          <w:color w:val="auto"/>
        </w:rPr>
      </w:pPr>
    </w:p>
    <w:p>
      <w:pPr>
        <w:ind w:left="1080" w:right="38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regulated investment company, tax-exempt organization, pension plan, broker, dealer or trader in stocks, securities or currencies, U.S. expatriate, controlled foreign corporation or passive foreign investment company;</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Non-U.S. Holder holding class A common stock as part of a conversion, constructive sale, wash sale or other integrated transaction or a hedge, straddle or synthetic security;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Non-U.S. Holder whose functional currency is not the U.S. dollar;</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Non-U.S. Holder that holds or receives class A common stock pursuant to the exercise of any employee stock option or otherwise as compensation;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Non-U.S. Holder that at any time owns, directly, indirectly or constructively, 5% or more of our outstanding class A common stock.</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stockholders of a controlled foreign corporation or passive foreign investment company that holds class A common stock.</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If we make distributions of cash or property (other than certain pro rata distributions of class A common stock) with respect to our class A common stock, any such distributions generally will constitute dividends for U.S. federal income tax purposes to the extent paid from our current or accumulated earnings and profits, as determined under U.S. federal income tax principles and will be subject to withholding tax at a 30% rate or such lower rate as may be specified by an applicable income tax treaty. A Non-U.S. Holder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generally obtain a refund or credit of any excess amounts withheld by timely filing an appropriate claim with the IRS. Non-U.S. Holders are urged to consult their tax advisors regarding their entitlement to benefits under a relevant income tax treaty.</w:t>
      </w:r>
    </w:p>
    <w:p>
      <w:pPr>
        <w:spacing w:after="0" w:line="165" w:lineRule="exact"/>
        <w:rPr>
          <w:sz w:val="20"/>
          <w:szCs w:val="20"/>
          <w:color w:val="auto"/>
        </w:rPr>
      </w:pPr>
    </w:p>
    <w:p>
      <w:pPr>
        <w:ind w:left="120" w:right="100" w:firstLine="991"/>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is taxed on a net income basis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7"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If the amount of a distribution exceeds our current and accumulated earnings and profits, such excess first will be treated as a tax-free return of capital to the extent of a Non-U.S. Holder’s adjusted tax basis in its shares of our class A common stock, and thereafter will be treated as capital gain from a disposition of class A common stock subject to the tax treatment described below in “—</w:t>
      </w:r>
      <w:r>
        <w:rPr>
          <w:rFonts w:ascii="Arial" w:cs="Arial" w:eastAsia="Arial" w:hAnsi="Arial"/>
          <w:sz w:val="16"/>
          <w:szCs w:val="16"/>
          <w:i w:val="1"/>
          <w:iCs w:val="1"/>
          <w:color w:val="auto"/>
        </w:rPr>
        <w:t>Dispositions of Our class A common stock</w:t>
      </w:r>
      <w:r>
        <w:rPr>
          <w:rFonts w:ascii="Arial" w:cs="Arial" w:eastAsia="Arial" w:hAnsi="Arial"/>
          <w:sz w:val="16"/>
          <w:szCs w:val="16"/>
          <w:color w:val="auto"/>
        </w:rPr>
        <w:t>.”</w:t>
      </w:r>
    </w:p>
    <w:p>
      <w:pPr>
        <w:spacing w:after="0" w:line="149"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The foregoing discussion is subject to the discussions below under “—</w:t>
      </w:r>
      <w:r>
        <w:rPr>
          <w:rFonts w:ascii="Arial" w:cs="Arial" w:eastAsia="Arial" w:hAnsi="Arial"/>
          <w:sz w:val="18"/>
          <w:szCs w:val="18"/>
          <w:i w:val="1"/>
          <w:iCs w:val="1"/>
          <w:color w:val="auto"/>
        </w:rPr>
        <w:t>Backup Withholding and Information Reporting</w:t>
      </w:r>
      <w:r>
        <w:rPr>
          <w:rFonts w:ascii="Arial" w:cs="Arial" w:eastAsia="Arial" w:hAnsi="Arial"/>
          <w:sz w:val="18"/>
          <w:szCs w:val="18"/>
          <w:color w:val="auto"/>
        </w:rPr>
        <w:t>” and “—</w:t>
      </w:r>
      <w:r>
        <w:rPr>
          <w:rFonts w:ascii="Arial" w:cs="Arial" w:eastAsia="Arial" w:hAnsi="Arial"/>
          <w:sz w:val="18"/>
          <w:szCs w:val="18"/>
          <w:i w:val="1"/>
          <w:iCs w:val="1"/>
          <w:color w:val="auto"/>
        </w:rPr>
        <w:t>FATCA</w:t>
      </w:r>
      <w:r>
        <w:rPr>
          <w:rFonts w:ascii="Arial" w:cs="Arial" w:eastAsia="Arial" w:hAnsi="Arial"/>
          <w:sz w:val="18"/>
          <w:szCs w:val="18"/>
          <w:color w:val="auto"/>
        </w:rPr>
        <w:t xml:space="preserve"> </w:t>
      </w:r>
      <w:r>
        <w:rPr>
          <w:rFonts w:ascii="Arial" w:cs="Arial" w:eastAsia="Arial" w:hAnsi="Arial"/>
          <w:sz w:val="18"/>
          <w:szCs w:val="18"/>
          <w:i w:val="1"/>
          <w:iCs w:val="1"/>
          <w:color w:val="auto"/>
        </w:rPr>
        <w:t>Withholding</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Disposition of Our Class A Common Stock</w:t>
      </w:r>
    </w:p>
    <w:p>
      <w:pPr>
        <w:spacing w:after="0" w:line="121" w:lineRule="exact"/>
        <w:rPr>
          <w:sz w:val="20"/>
          <w:szCs w:val="20"/>
          <w:color w:val="auto"/>
        </w:rPr>
      </w:pPr>
    </w:p>
    <w:p>
      <w:pPr>
        <w:ind w:left="120" w:right="80" w:firstLine="991"/>
        <w:spacing w:after="0" w:line="275" w:lineRule="auto"/>
        <w:rPr>
          <w:sz w:val="20"/>
          <w:szCs w:val="20"/>
          <w:color w:val="auto"/>
        </w:rPr>
      </w:pPr>
      <w:r>
        <w:rPr>
          <w:rFonts w:ascii="Arial" w:cs="Arial" w:eastAsia="Arial" w:hAnsi="Arial"/>
          <w:sz w:val="17"/>
          <w:szCs w:val="17"/>
          <w:color w:val="auto"/>
        </w:rPr>
        <w:t>We believe that we may be a “United States real property holding corporation.” 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Notwithstanding our potential status as a “United States real property holding corporation,” a Non-U.S. Holder generally will not be subject to U.S. federal income tax (including U.S. withholding tax) on gain recognized on any sale or other disposition of our class A common stock unless:</w:t>
      </w:r>
    </w:p>
    <w:p>
      <w:pPr>
        <w:spacing w:after="0" w:line="82" w:lineRule="exact"/>
        <w:rPr>
          <w:sz w:val="20"/>
          <w:szCs w:val="20"/>
          <w:color w:val="auto"/>
        </w:rPr>
      </w:pPr>
    </w:p>
    <w:p>
      <w:pPr>
        <w:ind w:left="1080" w:right="40" w:hanging="532"/>
        <w:spacing w:after="0" w:line="275"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same U.S. federal income tax rates applicable to United States persons (as defined in the Code), and if the Non-U.S. Holder is a foreign corporation, an additional branch profits tax at a 30% rate, or such lower rate as may be specified by an applicable income tax treaty, may also apply;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532"/>
        <w:spacing w:after="0" w:line="30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on the net gain derived from the disposition, which may be offset by U.S.-source capital losses of the Non-U.S. Holder, if any; provided the Non-U.S. Holder has timely filed U.S. federal income tax returns with respect to such losses; or</w:t>
      </w:r>
    </w:p>
    <w:p>
      <w:pPr>
        <w:spacing w:after="0" w:line="62" w:lineRule="exact"/>
        <w:rPr>
          <w:rFonts w:ascii="Arial" w:cs="Arial" w:eastAsia="Arial" w:hAnsi="Arial"/>
          <w:sz w:val="16"/>
          <w:szCs w:val="16"/>
          <w:color w:val="auto"/>
        </w:rPr>
      </w:pPr>
    </w:p>
    <w:p>
      <w:pPr>
        <w:ind w:left="1080" w:right="100" w:hanging="532"/>
        <w:spacing w:after="0" w:line="25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were a “United States real property holding corporation,” the Non-U.S. Holder actually or constructively owns more than five percent of our class A common stock at any time during the shorter of the five-year period ending on the date of disposition or the period that the Non-U.S. Holder held our class A common stock, provided that our class A common stock is “regularly traded on an established securities market,” within the meaning of Section 897 of the Code and applicable Treasury Regulations, during the calendar year in which the sale or other disposition occurs.</w:t>
      </w:r>
    </w:p>
    <w:p>
      <w:pPr>
        <w:spacing w:after="0" w:line="80"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The foregoing discussion is subject to the discussions below under “—</w:t>
      </w:r>
      <w:r>
        <w:rPr>
          <w:rFonts w:ascii="Arial" w:cs="Arial" w:eastAsia="Arial" w:hAnsi="Arial"/>
          <w:sz w:val="18"/>
          <w:szCs w:val="18"/>
          <w:i w:val="1"/>
          <w:iCs w:val="1"/>
          <w:color w:val="auto"/>
        </w:rPr>
        <w:t>Backup Withholding and Information Reporting</w:t>
      </w:r>
      <w:r>
        <w:rPr>
          <w:rFonts w:ascii="Arial" w:cs="Arial" w:eastAsia="Arial" w:hAnsi="Arial"/>
          <w:sz w:val="18"/>
          <w:szCs w:val="18"/>
          <w:color w:val="auto"/>
        </w:rPr>
        <w:t>” and “—</w:t>
      </w:r>
      <w:r>
        <w:rPr>
          <w:rFonts w:ascii="Arial" w:cs="Arial" w:eastAsia="Arial" w:hAnsi="Arial"/>
          <w:sz w:val="18"/>
          <w:szCs w:val="18"/>
          <w:i w:val="1"/>
          <w:iCs w:val="1"/>
          <w:color w:val="auto"/>
        </w:rPr>
        <w:t>FATCA</w:t>
      </w:r>
      <w:r>
        <w:rPr>
          <w:rFonts w:ascii="Arial" w:cs="Arial" w:eastAsia="Arial" w:hAnsi="Arial"/>
          <w:sz w:val="18"/>
          <w:szCs w:val="18"/>
          <w:color w:val="auto"/>
        </w:rPr>
        <w:t xml:space="preserve"> </w:t>
      </w:r>
      <w:r>
        <w:rPr>
          <w:rFonts w:ascii="Arial" w:cs="Arial" w:eastAsia="Arial" w:hAnsi="Arial"/>
          <w:sz w:val="18"/>
          <w:szCs w:val="18"/>
          <w:i w:val="1"/>
          <w:iCs w:val="1"/>
          <w:color w:val="auto"/>
        </w:rPr>
        <w:t>Withholding</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jc w:val="both"/>
        <w:ind w:left="120" w:right="160" w:firstLine="991"/>
        <w:spacing w:after="0" w:line="311" w:lineRule="auto"/>
        <w:rPr>
          <w:sz w:val="20"/>
          <w:szCs w:val="20"/>
          <w:color w:val="auto"/>
        </w:rPr>
      </w:pPr>
      <w:r>
        <w:rPr>
          <w:rFonts w:ascii="Arial" w:cs="Arial" w:eastAsia="Arial" w:hAnsi="Arial"/>
          <w:sz w:val="16"/>
          <w:szCs w:val="16"/>
          <w:color w:val="auto"/>
        </w:rPr>
        <w:t>Our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Generally, distributions in respect of our class A common stock to a Non-U.S. Holder and the amount of any tax withheld from such payments must be reported annually to the IRS and to the Non-U.S. Holder. Copies of these information returns may be made available by the IRS to the tax authorities of the country in which the Non-U.S. Holder is a resident under the provisions of an applicable income tax treaty. Under certain circumstances, backup withholding of U.S. federal income tax may apply to distributions in respect of our class A common stock to a Non-U.S. Holder if the Non-U.S. Holder fails to certify under penalties of perjury that it is not a United States person.</w:t>
      </w:r>
    </w:p>
    <w:p>
      <w:pPr>
        <w:spacing w:after="0" w:line="176"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Payments of the proceeds of the sale or other disposition of our class A common stock to or through a foreign office of a U.S. broker or of a foreign broker with certain specified U.S. connections will be subject to information reporting requirements, but generally not backup withholding, unless (i) the broker has evidence in its records that the payee is not a United States person, and the broker has no actual knowledge or reason to know to the contrary or (ii) the payee otherwise establishes an exemption. Payments of the proceeds of a sale or other disposition of our class A common stock to or through the U.S. office of a broker will be subject to information reporting and backup withholding unless the payee certifies under penalties of perjury that it is not a United States person (and the payor has no actual knowledge or reason to know to the contrary) or otherwise establishes an exemption.</w:t>
      </w:r>
    </w:p>
    <w:p>
      <w:pPr>
        <w:spacing w:after="0" w:line="195"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Any amount withheld under the backup withholding rules generally will be allowed as a refund or credit against a Non-U.S. Holder’s U.S. federal income tax liability (if any); provided that the required information is timely furnished to the IRS. Non-U.S. Holders should consult their tax advisors about the filing of a U.S. federal income tax return in order to obtain a refund.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Non-U.S. Holders should be aware that, under Sections 1471 through 1474 of the Code (“FATCA”), a 30% withholding tax will be imposed on certain payments (which could include distributions in respect of our class A common stock) to a foreign entity if such entity fails to satisfy certain disclosure and reporting rules that in general require that (i) in the case of a foreign financial entity, the entity or a related entity register with the IRS and identify and provide information in respect of financial accounts with such entity held (directly or indirectly) by United States persons and United States owned foreign entities, and (ii) in the case of a non-financial foreign entity, the entity identify and provide information in respect of substantial United States owners of such entity. Foreign entities that hold our class A common stock generally will be subject to this tax unless they certify on an applicable IRS Form W-8 (generally, IRS Form W-8BEN-E) that they comply with, or are deemed to comply with, or are exempted from the application of, these rules.</w:t>
      </w:r>
    </w:p>
    <w:p>
      <w:pPr>
        <w:spacing w:after="0" w:line="192"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Various requirements and exceptions are provided under FATCA and additional requirements and exceptions may be provided in subsequent guidance. Further, the United States has entered into many intergovernmental agreements (“IGAs”) with foreign governments relating to the implementation of, and information sharing under, FATCA and such IGAs may alter one or more of the FATCA information reporting rules.</w:t>
      </w:r>
    </w:p>
    <w:p>
      <w:pPr>
        <w:spacing w:after="0" w:line="149" w:lineRule="exact"/>
        <w:rPr>
          <w:sz w:val="20"/>
          <w:szCs w:val="20"/>
          <w:color w:val="auto"/>
        </w:rPr>
      </w:pPr>
    </w:p>
    <w:p>
      <w:pPr>
        <w:ind w:left="120" w:right="100" w:firstLine="991"/>
        <w:spacing w:after="0" w:line="308" w:lineRule="auto"/>
        <w:rPr>
          <w:sz w:val="20"/>
          <w:szCs w:val="20"/>
          <w:color w:val="auto"/>
        </w:rPr>
      </w:pPr>
      <w:r>
        <w:rPr>
          <w:rFonts w:ascii="Arial" w:cs="Arial" w:eastAsia="Arial" w:hAnsi="Arial"/>
          <w:sz w:val="17"/>
          <w:szCs w:val="17"/>
          <w:color w:val="auto"/>
        </w:rPr>
        <w:t>Under certain circumstances, a Non-U.S. Holder might be eligible for refunds or credits of such taxes. Holders are encouraged to consult with their tax advisors regarding the possible implications of FATCA on their investment in our class A common stock.</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60"/>
          </w:cols>
          <w:pgMar w:left="320" w:top="459" w:right="5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Shearman &amp; Sterling LLP, New York, New York will issue opinions about the validity of the class A common stock and various legal matters in connection with the offering on our behalf. An investment vehicle comprised of certain partners of Shearman &amp; Sterling LLP, members of their families and other related persons has an interest in us representing less than 0.25% of our aggregate capital stock. Certain legal matters in connection with the class A common stock offered hereby will be passed upon for the sales agent by Duane Morris LLP, New York, New York.</w:t>
      </w:r>
    </w:p>
    <w:p>
      <w:pPr>
        <w:spacing w:after="0" w:line="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820"/>
          </w:cols>
          <w:pgMar w:left="320" w:top="459" w:right="7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40" w:firstLine="991"/>
        <w:spacing w:after="0" w:line="286" w:lineRule="auto"/>
        <w:rPr>
          <w:sz w:val="20"/>
          <w:szCs w:val="20"/>
          <w:color w:val="auto"/>
        </w:rPr>
      </w:pPr>
      <w:r>
        <w:rPr>
          <w:rFonts w:ascii="Arial" w:cs="Arial" w:eastAsia="Arial" w:hAnsi="Arial"/>
          <w:sz w:val="17"/>
          <w:szCs w:val="17"/>
          <w:color w:val="auto"/>
        </w:rPr>
        <w:t>Our consolidated financial statements as of and for the years ended December 31, 2021 and 2020 incorporated by reference herein, have been audited by Armanino LLP, an independent registered public accounting firm, as set forth in their report, incorporated by reference herein, and are included in reliance upon the report given on the authority of such firm as experts in accounting and auditing.</w:t>
      </w:r>
    </w:p>
    <w:p>
      <w:pPr>
        <w:spacing w:after="0" w:line="165"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The consolidated financial statements of Support.com as of and for the years ended December 31, 2020 and 2019 incorporated by reference herein, have been audited by Plante &amp; Moran, PLLC, an independent registered public accounting firm, as set forth in their report, which is incorporated by reference herein, and are included in reliance upon the report given on the authority of such firm as experts in accounting and auditing.</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00"/>
          </w:cols>
          <w:pgMar w:left="320" w:top="459" w:right="5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covered by this prospectus supplement. This prospectus supplement,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supplement concerning the contents of any contract or any other document are not necessarily complete. If a contract or document has been filed as an exhibit to the registration statement, please see the copy of the contract or document that has been filed. Each statement in this prospectus supplement relating to a contract or document filed as an exhibit is qualified in all respects by the filed exhibit. You may obtain copies of this information by mail from the public reference room of the SEC at 100 F Street, N.E., Washington, D.C. 20549, at prescribed rates. Please call the SEC at 1-800-SEC-0330 for more information about the operation of the Public Reference Room. The SEC also maintains an Internet website that contains reports, proxy and information statements and other information regarding issuers, like us, that file electronically with the SEC. The address of that website is http://www.sec.gov.</w:t>
      </w:r>
    </w:p>
    <w:p>
      <w:pPr>
        <w:spacing w:after="0" w:line="172"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color w:val="auto"/>
        </w:rPr>
        <w:t>We are subject to the informational requirements of the Exchange Act, and, in accordance with the Exchange Act, file reports, proxy and information statements and other information with the SEC. Such annual, quarterly and special reports, proxy and information statements and other information can be inspected and copied at the locations set forth above. We make available free of charge on or through our website, www.greenidge.com, our filings with the SEC pursuant to Sections 13(a) or 15(d) of the Exchange Act as soon as reasonably practicable after we electronically file such material with, or furnish it to, the SEC. We make our website content available for information purposes only. Information contained on, or accessible through, our website is not incorporated by reference into this prospectus supplement and does not constitute a part of this prospectus supplement.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60"/>
          </w:cols>
          <w:pgMar w:left="320" w:top="459"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 SEC allows us to “incorporate by reference” certain of the information that we file with it after the date of the filing of the registration statement of which this prospectus supplement forms a part, which means that we can disclose important information to you by referring you to the documents containing that information. The information incorporated by reference is considered to be part of this prospectus supplement, and later information that we file with the SEC will automatically update and supersede this information.</w:t>
      </w:r>
    </w:p>
    <w:p>
      <w:pPr>
        <w:spacing w:after="0" w:line="187"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documents listed below and any future filings made by us with the SEC under Sections 13(a), 13(c), 14 or 15(d) of the Exchange Act (excluding any information furnished pursuant to Item 2.02 or Item 7.01 on any Current Report on Form 8-K and exhibits filed on such form that are related to such items unless such Form 8-K expressly provides to the contrary), including all such documents we may file with the SEC after the date on which the registration statement that includes this prospectus supplement was initially filed with the SEC and prior to the effectiveness of the registration statement and all such documents we may file with the SEC after the effectiveness of the registration statement, are incorporated by reference in this prospectus supplement until the termination of the offering under this registration statement:</w:t>
      </w:r>
    </w:p>
    <w:p>
      <w:pPr>
        <w:spacing w:after="0" w:line="83"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2021, filed on </w:t>
      </w:r>
      <w:hyperlink r:id="rId40">
        <w:r>
          <w:rPr>
            <w:rFonts w:ascii="Arial" w:cs="Arial" w:eastAsia="Arial" w:hAnsi="Arial"/>
            <w:sz w:val="18"/>
            <w:szCs w:val="18"/>
            <w:u w:val="single" w:color="auto"/>
            <w:color w:val="0000EE"/>
          </w:rPr>
          <w:t>March 31,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7"/>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quarterly periods ended March 31, 2022 and June 30, 2022, filed on </w:t>
      </w:r>
      <w:hyperlink r:id="rId41">
        <w:r>
          <w:rPr>
            <w:rFonts w:ascii="Arial" w:cs="Arial" w:eastAsia="Arial" w:hAnsi="Arial"/>
            <w:sz w:val="18"/>
            <w:szCs w:val="18"/>
            <w:u w:val="single" w:color="auto"/>
            <w:color w:val="0000EE"/>
          </w:rPr>
          <w:t>May 16,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2">
        <w:r>
          <w:rPr>
            <w:rFonts w:ascii="Arial" w:cs="Arial" w:eastAsia="Arial" w:hAnsi="Arial"/>
            <w:sz w:val="18"/>
            <w:szCs w:val="18"/>
            <w:u w:val="single" w:color="auto"/>
            <w:color w:val="0000EE"/>
          </w:rPr>
          <w:t>August 15,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120" w:hanging="532"/>
        <w:spacing w:after="0" w:line="263" w:lineRule="auto"/>
        <w:tabs>
          <w:tab w:leader="none" w:pos="1080" w:val="left"/>
        </w:tabs>
        <w:numPr>
          <w:ilvl w:val="0"/>
          <w:numId w:val="7"/>
        </w:numPr>
        <w:rPr>
          <w:rFonts w:ascii="Arial" w:cs="Arial" w:eastAsia="Arial" w:hAnsi="Arial"/>
          <w:sz w:val="18"/>
          <w:szCs w:val="18"/>
          <w:color w:val="0000EE"/>
        </w:rPr>
      </w:pPr>
      <w:r>
        <w:rPr>
          <w:rFonts w:ascii="Arial" w:cs="Arial" w:eastAsia="Arial" w:hAnsi="Arial"/>
          <w:sz w:val="18"/>
          <w:szCs w:val="18"/>
          <w:color w:val="auto"/>
        </w:rPr>
        <w:t xml:space="preserve">Unaudited Pro Forma Consolidated Statements of Operations of the Company for the year ended December 31, 2021, and the notes </w:t>
      </w:r>
      <w:hyperlink r:id="rId43">
        <w:r>
          <w:rPr>
            <w:rFonts w:ascii="Arial" w:cs="Arial" w:eastAsia="Arial" w:hAnsi="Arial"/>
            <w:sz w:val="18"/>
            <w:szCs w:val="18"/>
            <w:color w:val="auto"/>
          </w:rPr>
          <w:t xml:space="preserve">thereto, contained in our Current Report on Form 8-K/A filed on </w:t>
        </w:r>
        <w:r>
          <w:rPr>
            <w:rFonts w:ascii="Arial" w:cs="Arial" w:eastAsia="Arial" w:hAnsi="Arial"/>
            <w:sz w:val="18"/>
            <w:szCs w:val="18"/>
            <w:u w:val="single" w:color="auto"/>
            <w:color w:val="0000EE"/>
          </w:rPr>
          <w:t>April 1, 2022</w:t>
        </w:r>
        <w:r>
          <w:rPr>
            <w:rFonts w:ascii="Arial" w:cs="Arial" w:eastAsia="Arial" w:hAnsi="Arial"/>
            <w:sz w:val="18"/>
            <w:szCs w:val="18"/>
            <w:color w:val="auto"/>
          </w:rPr>
          <w:t xml:space="preserve"> and our Current Reports on Form 8-K filed on </w:t>
        </w:r>
        <w:r>
          <w:rPr>
            <w:rFonts w:ascii="Arial" w:cs="Arial" w:eastAsia="Arial" w:hAnsi="Arial"/>
            <w:sz w:val="18"/>
            <w:szCs w:val="18"/>
            <w:u w:val="single" w:color="auto"/>
            <w:color w:val="0000EE"/>
          </w:rPr>
          <w:t>March 24,</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4">
        <w:r>
          <w:rPr>
            <w:rFonts w:ascii="Arial" w:cs="Arial" w:eastAsia="Arial" w:hAnsi="Arial"/>
            <w:sz w:val="18"/>
            <w:szCs w:val="18"/>
            <w:u w:val="single" w:color="auto"/>
            <w:color w:val="0000EE"/>
          </w:rPr>
          <w:t>April 8, 2022</w:t>
        </w:r>
      </w:hyperlink>
      <w:hyperlink r:id="rId4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5">
        <w:r>
          <w:rPr>
            <w:rFonts w:ascii="Arial" w:cs="Arial" w:eastAsia="Arial" w:hAnsi="Arial"/>
            <w:sz w:val="18"/>
            <w:szCs w:val="18"/>
            <w:u w:val="single" w:color="auto"/>
            <w:color w:val="0000EE"/>
          </w:rPr>
          <w:t>April 14, 2022</w:t>
        </w:r>
      </w:hyperlink>
      <w:hyperlink r:id="rId4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6">
        <w:r>
          <w:rPr>
            <w:rFonts w:ascii="Arial" w:cs="Arial" w:eastAsia="Arial" w:hAnsi="Arial"/>
            <w:sz w:val="18"/>
            <w:szCs w:val="18"/>
            <w:u w:val="single" w:color="auto"/>
            <w:color w:val="0000EE"/>
          </w:rPr>
          <w:t xml:space="preserve">September 7, 2022 </w:t>
        </w:r>
      </w:hyperlink>
      <w:hyperlink r:id="rId4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7">
        <w:r>
          <w:rPr>
            <w:rFonts w:ascii="Arial" w:cs="Arial" w:eastAsia="Arial" w:hAnsi="Arial"/>
            <w:sz w:val="18"/>
            <w:szCs w:val="18"/>
            <w:u w:val="single" w:color="auto"/>
            <w:color w:val="0000EE"/>
          </w:rPr>
          <w:t>October 4, 2022</w:t>
        </w:r>
      </w:hyperlink>
      <w:hyperlink r:id="rId43">
        <w:r>
          <w:rPr>
            <w:rFonts w:ascii="Arial" w:cs="Arial" w:eastAsia="Arial" w:hAnsi="Arial"/>
            <w:sz w:val="18"/>
            <w:szCs w:val="18"/>
            <w:color w:val="000000"/>
          </w:rPr>
          <w:t>;</w:t>
        </w:r>
      </w:hyperlink>
    </w:p>
    <w:p>
      <w:pPr>
        <w:spacing w:after="0" w:line="89" w:lineRule="exact"/>
        <w:rPr>
          <w:rFonts w:ascii="Arial" w:cs="Arial" w:eastAsia="Arial" w:hAnsi="Arial"/>
          <w:sz w:val="18"/>
          <w:szCs w:val="18"/>
          <w:color w:val="0000EE"/>
        </w:rPr>
      </w:pPr>
    </w:p>
    <w:p>
      <w:pPr>
        <w:ind w:left="1080" w:right="660" w:hanging="532"/>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description of our class A common stock set forth in </w:t>
      </w:r>
      <w:hyperlink r:id="rId48">
        <w:r>
          <w:rPr>
            <w:rFonts w:ascii="Arial" w:cs="Arial" w:eastAsia="Arial" w:hAnsi="Arial"/>
            <w:sz w:val="17"/>
            <w:szCs w:val="17"/>
            <w:u w:val="single" w:color="auto"/>
            <w:color w:val="0000EE"/>
          </w:rPr>
          <w:t>Exhibit 4.6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our Annual Report on Form 10-K for the fiscal year ended December 31, 2021, together with any amendments or reports filed for the purpose of updating such description; and</w:t>
      </w:r>
    </w:p>
    <w:p>
      <w:pPr>
        <w:spacing w:after="0" w:line="51" w:lineRule="exact"/>
        <w:rPr>
          <w:rFonts w:ascii="Arial" w:cs="Arial" w:eastAsia="Arial" w:hAnsi="Arial"/>
          <w:sz w:val="17"/>
          <w:szCs w:val="17"/>
          <w:color w:val="auto"/>
        </w:rPr>
      </w:pPr>
    </w:p>
    <w:p>
      <w:pPr>
        <w:ind w:left="1080" w:right="4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Financial Statements of Support.com, Inc. contained in </w:t>
      </w:r>
      <w:hyperlink r:id="rId49">
        <w:r>
          <w:rPr>
            <w:rFonts w:ascii="Arial" w:cs="Arial" w:eastAsia="Arial" w:hAnsi="Arial"/>
            <w:sz w:val="18"/>
            <w:szCs w:val="18"/>
            <w:u w:val="single" w:color="auto"/>
            <w:color w:val="0000EE"/>
          </w:rPr>
          <w:t>Exhibit 99.2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Current Report on Form 8-K filed on September 15, 2021 (Acc-no: 0001193125-21-273493).</w:t>
      </w:r>
    </w:p>
    <w:p>
      <w:pPr>
        <w:spacing w:after="0" w:line="170" w:lineRule="exact"/>
        <w:rPr>
          <w:rFonts w:ascii="Arial" w:cs="Arial" w:eastAsia="Arial" w:hAnsi="Arial"/>
          <w:sz w:val="17"/>
          <w:szCs w:val="17"/>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We will provide a copy of these filings (including certain exhibits that are specifically incorporated by reference therein) to each person, including any beneficial owner, to whom a prospectus supplement is delivered. You may request a copy of any or all of these filings at no cost, by writing or calling us at:</w:t>
      </w:r>
    </w:p>
    <w:p>
      <w:pPr>
        <w:spacing w:after="0" w:line="184"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Greenidge Generation Holdings Inc.</w:t>
      </w:r>
    </w:p>
    <w:p>
      <w:pPr>
        <w:spacing w:after="0" w:line="23"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135 Rennell Drive, 3rd Floor</w:t>
      </w:r>
    </w:p>
    <w:p>
      <w:pPr>
        <w:spacing w:after="0" w:line="9"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Fairfield, CT 06890</w:t>
      </w:r>
    </w:p>
    <w:p>
      <w:pPr>
        <w:spacing w:after="0" w:line="9"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(203) 718-5960</w:t>
      </w:r>
    </w:p>
    <w:p>
      <w:pPr>
        <w:spacing w:after="0" w:line="211" w:lineRule="exact"/>
        <w:rPr>
          <w:rFonts w:ascii="Arial" w:cs="Arial" w:eastAsia="Arial" w:hAnsi="Arial"/>
          <w:sz w:val="17"/>
          <w:szCs w:val="17"/>
          <w:color w:val="auto"/>
        </w:rPr>
      </w:pPr>
    </w:p>
    <w:p>
      <w:pPr>
        <w:ind w:left="120" w:right="380" w:firstLine="991"/>
        <w:spacing w:after="0" w:line="342" w:lineRule="auto"/>
        <w:rPr>
          <w:sz w:val="20"/>
          <w:szCs w:val="20"/>
          <w:color w:val="auto"/>
        </w:rPr>
      </w:pPr>
      <w:r>
        <w:rPr>
          <w:rFonts w:ascii="Arial" w:cs="Arial" w:eastAsia="Arial" w:hAnsi="Arial"/>
          <w:sz w:val="16"/>
          <w:szCs w:val="16"/>
          <w:color w:val="auto"/>
        </w:rPr>
        <w:t>Copies of certain information filed by us with the SEC, including our Annual Report and Quarterly Reports, are also available on our website at www.greenidge.com. Information contained on our website or accessible through our website is not incorporated by reference herein.</w:t>
      </w:r>
    </w:p>
    <w:p>
      <w:pPr>
        <w:spacing w:after="0" w:line="124" w:lineRule="exact"/>
        <w:rPr>
          <w:rFonts w:ascii="Arial" w:cs="Arial" w:eastAsia="Arial" w:hAnsi="Arial"/>
          <w:sz w:val="17"/>
          <w:szCs w:val="17"/>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You should read the information relating to us in this prospectus supplement together with the information in the documents incorporated by reference. Nothing contained herein shall be deemed to incorporate information furnished, but not filed, with the SEC.</w:t>
      </w:r>
    </w:p>
    <w:p>
      <w:pPr>
        <w:spacing w:after="0" w:line="103"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80"/>
          </w:cols>
          <w:pgMar w:left="320" w:top="459"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171450</wp:posOffset>
            </wp:positionV>
            <wp:extent cx="2648585" cy="617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26485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GREENIDGE GENERATION HOLDINGS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$100,000,000</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From time to time, we may offer and sell shares of our class A common stock, par value $0.0001 per share. The aggregate initial offering price of all shares of class A common stock sold by us pursuant to this prospectus will not exceed $100,000,000.</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on a continuous or delayed basis.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any applicable prospectus supplement carefully before you invest.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 listed on the Nasdaq Global Select Market and trades under the symbol “GREE.”</w:t>
      </w:r>
    </w:p>
    <w:p>
      <w:pPr>
        <w:spacing w:after="0" w:line="225"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As of September 16, 2022, the aggregate market value of our class A and class B common stock (our “common stock”) held by our non-affiliates was approximately $68.6 million, based upon 14,752,141 shares of our outstanding common stock held by non-affiliates at the per share price of $4.65, the closing sale price of our class A common stock on the Nasdaq Global Select Market on August 15, 2022. Pursuant to General Instruction I.B.6 of Form S-3, in no event will we sell securities in a public offering with a value exceeding more than one third of our “public float” (i.e., the aggregate market value of our common stock held by our non-affiliates) in any 12-month period so long as our public float remains below $75.0 million (the “I.B.6 Limitation”). We have not sold any securities in reliance on General Instruction I.B.6 of Form S-3 during the 12 calendar months prior to and including the date of this prospectus.</w:t>
      </w:r>
    </w:p>
    <w:p>
      <w:pPr>
        <w:spacing w:after="0" w:line="195"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a “smaller reporting company” as defined in Item 10(f)(1) of Regulation S-K, and are subject to reduced public company reporting requirements.</w:t>
      </w:r>
    </w:p>
    <w:p>
      <w:pPr>
        <w:spacing w:after="0" w:line="12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We are also a “controlled company” under the rules of The Nasdaq Stock Market LLC (“Nasdaq”) and may take advantage of certain corporate governance exemptions afforded to a “controlled company” under the rules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320"/>
        <w:spacing w:after="0" w:line="254" w:lineRule="auto"/>
        <w:rPr>
          <w:sz w:val="20"/>
          <w:szCs w:val="20"/>
          <w:color w:val="auto"/>
        </w:rPr>
      </w:pPr>
      <w:r>
        <w:rPr>
          <w:rFonts w:ascii="Arial" w:cs="Arial" w:eastAsia="Arial" w:hAnsi="Arial"/>
          <w:sz w:val="21"/>
          <w:szCs w:val="21"/>
          <w:b w:val="1"/>
          <w:bCs w:val="1"/>
          <w:color w:val="auto"/>
        </w:rPr>
        <w:t>You should carefully read this prospectus, the documents incorporated by reference in this prospectus and any prospectus supplement before you invest. See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beginning on page 8 of this prospectus, our filings with the Securities and Exchange Commission (the “SEC”) and the applicable prospectus supplement for information on certain risks related to the purchase of our securities.</w:t>
      </w:r>
    </w:p>
    <w:p>
      <w:pPr>
        <w:spacing w:after="0" w:line="17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October 3, 2022.</w:t>
      </w:r>
    </w:p>
    <w:p>
      <w:pPr>
        <w:sectPr>
          <w:pgSz w:w="11900" w:h="16838" w:orient="portrait"/>
          <w:cols w:equalWidth="0" w:num="1">
            <w:col w:w="11120"/>
          </w:cols>
          <w:pgMar w:left="320" w:top="459" w:right="4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8740" w:type="dxa"/>
            <w:vAlign w:val="bottom"/>
            <w:gridSpan w:val="12"/>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Arial" w:cs="Arial" w:eastAsia="Arial" w:hAnsi="Arial"/>
                <w:sz w:val="18"/>
                <w:szCs w:val="18"/>
                <w:color w:val="0000EE"/>
              </w:rPr>
              <w:t>ABOUT THIS PROSPECTUS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4"/>
              </w:rPr>
              <w:t>DOCUMENTS INCORPORATED BY REFERENCE</w:t>
            </w:r>
          </w:p>
        </w:tc>
        <w:tc>
          <w:tcPr>
            <w:tcW w:w="472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0" w:type="dxa"/>
            <w:vAlign w:val="bottom"/>
          </w:tcPr>
          <w:p>
            <w:pPr>
              <w:spacing w:after="0"/>
              <w:rPr>
                <w:sz w:val="24"/>
                <w:szCs w:val="24"/>
                <w:color w:val="auto"/>
              </w:rPr>
            </w:pPr>
          </w:p>
        </w:tc>
        <w:tc>
          <w:tcPr>
            <w:tcW w:w="63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6"/>
              </w:rPr>
              <w:t>CAUTIONARY STATEMENT REGARDING FORWARD-LOOKING STATEMENTS</w:t>
            </w:r>
          </w:p>
        </w:tc>
        <w:tc>
          <w:tcPr>
            <w:tcW w:w="22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20" w:type="dxa"/>
            <w:vAlign w:val="bottom"/>
          </w:tcPr>
          <w:p>
            <w:pPr>
              <w:spacing w:after="0"/>
              <w:rPr>
                <w:sz w:val="24"/>
                <w:szCs w:val="24"/>
                <w:color w:val="auto"/>
              </w:rPr>
            </w:pPr>
          </w:p>
        </w:tc>
        <w:tc>
          <w:tcPr>
            <w:tcW w:w="42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6"/>
              </w:rPr>
              <w:t>ABOUT GREENIDGE GENERATION HOLDINGS INC.</w:t>
            </w:r>
          </w:p>
        </w:tc>
        <w:tc>
          <w:tcPr>
            <w:tcW w:w="438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Arial" w:cs="Arial" w:eastAsia="Arial" w:hAnsi="Arial"/>
                <w:sz w:val="18"/>
                <w:szCs w:val="18"/>
                <w:color w:val="0000EE"/>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8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USE OF PROCEEDS</w:t>
            </w:r>
          </w:p>
        </w:tc>
        <w:tc>
          <w:tcPr>
            <w:tcW w:w="704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Arial" w:cs="Arial" w:eastAsia="Arial" w:hAnsi="Arial"/>
                <w:sz w:val="18"/>
                <w:szCs w:val="18"/>
                <w:color w:val="0000EE"/>
              </w:rPr>
              <w:t>PLAN OF DISTRIBUTION</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24"/>
                <w:szCs w:val="24"/>
                <w:color w:val="auto"/>
              </w:rPr>
            </w:pPr>
          </w:p>
        </w:tc>
        <w:tc>
          <w:tcPr>
            <w:tcW w:w="658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Arial" w:cs="Arial" w:eastAsia="Arial" w:hAnsi="Arial"/>
                <w:sz w:val="18"/>
                <w:szCs w:val="18"/>
                <w:color w:val="0000EE"/>
              </w:rPr>
              <w:t>EXPERTS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 using a “shelf” registration process. Under this shelf registration process, we may offer and sell from time to time the securities described in this prospectus in one or more offerings in amounts that we will determine from time to time, up to a total dollar amount of $100,000,000, subject to the I.B.6 Limitation.</w:t>
      </w:r>
    </w:p>
    <w:p>
      <w:pPr>
        <w:spacing w:after="0" w:line="184"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offer the securities described in this prospectus we will provide you with a prospectus supplement that will describe, among other things, the specific amounts and prices of the securities being offered and the terms of the offering. We may also authorize one or more free writing prospectuses to be provided to you that may contain material information relating to these offerings and securities. This prospectus, together with applicable prospectus supplements, any information incorporated by reference, and any related free writing prospectuses we file with the SEC,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The information in this prospectus is accurate as of its date.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carefully read this prospectus, any applicable prospectus supplement and any related free writing prospectus, together with the information incorporated herein by reference as described under the headings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and “</w:t>
      </w:r>
      <w:r>
        <w:rPr>
          <w:rFonts w:ascii="Arial" w:cs="Arial" w:eastAsia="Arial" w:hAnsi="Arial"/>
          <w:sz w:val="17"/>
          <w:szCs w:val="17"/>
          <w:i w:val="1"/>
          <w:iCs w:val="1"/>
          <w:color w:val="auto"/>
        </w:rPr>
        <w:t>Documents Incorporated by Reference</w:t>
      </w:r>
      <w:r>
        <w:rPr>
          <w:rFonts w:ascii="Arial" w:cs="Arial" w:eastAsia="Arial" w:hAnsi="Arial"/>
          <w:sz w:val="17"/>
          <w:szCs w:val="17"/>
          <w:color w:val="auto"/>
        </w:rPr>
        <w:t>,” before buying any of the securities being offered.</w:t>
      </w:r>
    </w:p>
    <w:p>
      <w:pPr>
        <w:spacing w:after="0" w:line="182" w:lineRule="exact"/>
        <w:rPr>
          <w:sz w:val="20"/>
          <w:szCs w:val="20"/>
          <w:color w:val="auto"/>
        </w:rPr>
      </w:pPr>
    </w:p>
    <w:p>
      <w:pPr>
        <w:ind w:left="120" w:right="120" w:firstLine="991"/>
        <w:spacing w:after="0" w:line="298"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or any prospectus supplement. We have not authorized any other person to provide you with different information. If anyone provides you with different or inconsistent information, you should not rely on it. Neither we nor anyone acting on our behalf is making an offer to sell these securities in any jurisdiction where the offer or sale is not permitted. You should not assume that the information incorporated by reference or provided in this prospectus or any prospectus supplement is accurate as of any date other than the date on the front of those documents.</w:t>
      </w:r>
    </w:p>
    <w:p>
      <w:pPr>
        <w:spacing w:after="0" w:line="158" w:lineRule="exact"/>
        <w:rPr>
          <w:sz w:val="20"/>
          <w:szCs w:val="20"/>
          <w:color w:val="auto"/>
        </w:rPr>
      </w:pPr>
    </w:p>
    <w:p>
      <w:pPr>
        <w:ind w:left="120" w:right="220" w:firstLine="991"/>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57" w:lineRule="exact"/>
        <w:rPr>
          <w:sz w:val="20"/>
          <w:szCs w:val="20"/>
          <w:color w:val="auto"/>
        </w:rPr>
      </w:pPr>
    </w:p>
    <w:p>
      <w:pPr>
        <w:jc w:val="both"/>
        <w:ind w:left="120" w:right="280" w:firstLine="991"/>
        <w:spacing w:after="0" w:line="263" w:lineRule="auto"/>
        <w:rPr>
          <w:sz w:val="20"/>
          <w:szCs w:val="20"/>
          <w:color w:val="auto"/>
        </w:rPr>
      </w:pPr>
      <w:r>
        <w:rPr>
          <w:rFonts w:ascii="Arial" w:cs="Arial" w:eastAsia="Arial" w:hAnsi="Arial"/>
          <w:sz w:val="18"/>
          <w:szCs w:val="18"/>
          <w:color w:val="auto"/>
        </w:rPr>
        <w:t>Unless the context otherwise requires, throughout this prospectus and any applicable prospectus supplement, the words “we,” “us,” the “registrant,” the “Company,” or “Greenidge” refer to Greenidge Generation Holdings Inc. and the term “securities” refers to the shares of our class A common stock registered hereunder.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room of the SEC at 100 F Street, N.E., Washington, D.C. 20549, at prescribed rates. Please call the SEC at 1-800-SEC-0330 for more information about the operation of the Public Reference Room. The SEC also maintains an Internet website that contains reports, proxy and information statements and other information regarding issuers, like us, that file electronically with the SEC. The address of that website is http://www.sec.gov.</w:t>
      </w:r>
    </w:p>
    <w:p>
      <w:pPr>
        <w:spacing w:after="0" w:line="182"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in accordance with the Exchange Act, file reports, proxy and information statements and other information with the SEC. Such annual, quarterly and special reports, proxy and information statements and other information can be inspected and copied at the locations set forth above. We make available free of charge on or through our website, www.greenidge.com, our filings with the SEC pursuant to Sections 13(a) or 15(d) of the Exchange Act as soon as reasonably practicable after we electronically file such material with, or furnish it to, the SEC. We make our website content available for information purposes only. Information contained on, or accessible through, our website is not incorporated by reference into this prospectus and does not constitute a part of this prospectus.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 SEC allows us to “incorporate by reference” certain of the information that we file with it after the date of the filing of the registration statement of which this prospectus forms a part, which means that we can disclose important information to you by referring you to the documents containing that information. The information incorporated by reference is considered to be part of this prospectus, and later information that we file with the SEC will automatically update and supersede this information.</w:t>
      </w:r>
    </w:p>
    <w:p>
      <w:pPr>
        <w:spacing w:after="0" w:line="187"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The documents listed below and any future filings made by us with the SEC under Sections 13(a), 13(c), 14 or 15(d) of the Exchange Act (excluding any information furnished pursuant to Item 2.02 or Item 7.01 on any Current Report on Form 8-K and exhibits filed on such form that are related to such items unless such Form 8-K expressly provides to the contrary), including all such documents we may file with the SEC after the date on which the registration statement that includes this prospectus was initially filed with the SEC and prior to the effectiveness of the registration statement and all such documents we may file with the SEC after the effectiveness of the registration statement, are incorporated by reference in this prospectus until the termination of the offering under this registration statement:</w:t>
      </w:r>
    </w:p>
    <w:p>
      <w:pPr>
        <w:spacing w:after="0" w:line="205"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2021, filed on </w:t>
      </w:r>
      <w:hyperlink r:id="rId40">
        <w:r>
          <w:rPr>
            <w:rFonts w:ascii="Arial" w:cs="Arial" w:eastAsia="Arial" w:hAnsi="Arial"/>
            <w:sz w:val="18"/>
            <w:szCs w:val="18"/>
            <w:u w:val="single" w:color="auto"/>
            <w:color w:val="0000EE"/>
          </w:rPr>
          <w:t>March 31, 2022</w:t>
        </w:r>
      </w:hyperlink>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8"/>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quarterly periods ended March 31, 2022 and June 30, 2022, filed on </w:t>
      </w:r>
      <w:hyperlink r:id="rId41">
        <w:r>
          <w:rPr>
            <w:rFonts w:ascii="Arial" w:cs="Arial" w:eastAsia="Arial" w:hAnsi="Arial"/>
            <w:sz w:val="18"/>
            <w:szCs w:val="18"/>
            <w:u w:val="single" w:color="auto"/>
            <w:color w:val="0000EE"/>
          </w:rPr>
          <w:t>May 16,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2">
        <w:r>
          <w:rPr>
            <w:rFonts w:ascii="Arial" w:cs="Arial" w:eastAsia="Arial" w:hAnsi="Arial"/>
            <w:sz w:val="18"/>
            <w:szCs w:val="18"/>
            <w:u w:val="single" w:color="auto"/>
            <w:color w:val="0000EE"/>
          </w:rPr>
          <w:t>August 15,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197" w:lineRule="exact"/>
        <w:rPr>
          <w:rFonts w:ascii="Arial" w:cs="Arial" w:eastAsia="Arial" w:hAnsi="Arial"/>
          <w:sz w:val="18"/>
          <w:szCs w:val="18"/>
          <w:color w:val="0000EE"/>
        </w:rPr>
      </w:pPr>
    </w:p>
    <w:p>
      <w:pPr>
        <w:ind w:left="1080" w:right="140" w:hanging="424"/>
        <w:spacing w:after="0" w:line="263" w:lineRule="auto"/>
        <w:tabs>
          <w:tab w:leader="none" w:pos="1080" w:val="left"/>
        </w:tabs>
        <w:numPr>
          <w:ilvl w:val="0"/>
          <w:numId w:val="8"/>
        </w:numPr>
        <w:rPr>
          <w:rFonts w:ascii="Arial" w:cs="Arial" w:eastAsia="Arial" w:hAnsi="Arial"/>
          <w:sz w:val="18"/>
          <w:szCs w:val="18"/>
          <w:color w:val="0000EE"/>
        </w:rPr>
      </w:pPr>
      <w:r>
        <w:rPr>
          <w:rFonts w:ascii="Arial" w:cs="Arial" w:eastAsia="Arial" w:hAnsi="Arial"/>
          <w:sz w:val="18"/>
          <w:szCs w:val="18"/>
          <w:color w:val="auto"/>
        </w:rPr>
        <w:t xml:space="preserve">Unaudited Pro Forma Consolidated Statements of Operations of the Company for the year ended December 31, 2021, and the notes </w:t>
      </w:r>
      <w:hyperlink r:id="rId43">
        <w:r>
          <w:rPr>
            <w:rFonts w:ascii="Arial" w:cs="Arial" w:eastAsia="Arial" w:hAnsi="Arial"/>
            <w:sz w:val="18"/>
            <w:szCs w:val="18"/>
            <w:color w:val="auto"/>
          </w:rPr>
          <w:t xml:space="preserve">thereto, contained in our Current Report on Form 8-K/A filed on </w:t>
        </w:r>
        <w:r>
          <w:rPr>
            <w:rFonts w:ascii="Arial" w:cs="Arial" w:eastAsia="Arial" w:hAnsi="Arial"/>
            <w:sz w:val="18"/>
            <w:szCs w:val="18"/>
            <w:u w:val="single" w:color="auto"/>
            <w:color w:val="0000EE"/>
          </w:rPr>
          <w:t>April 1, 2022</w:t>
        </w:r>
        <w:r>
          <w:rPr>
            <w:rFonts w:ascii="Arial" w:cs="Arial" w:eastAsia="Arial" w:hAnsi="Arial"/>
            <w:sz w:val="18"/>
            <w:szCs w:val="18"/>
            <w:color w:val="auto"/>
          </w:rPr>
          <w:t xml:space="preserve"> and our Current Reports on Form 8-K filed on </w:t>
        </w:r>
        <w:r>
          <w:rPr>
            <w:rFonts w:ascii="Arial" w:cs="Arial" w:eastAsia="Arial" w:hAnsi="Arial"/>
            <w:sz w:val="18"/>
            <w:szCs w:val="18"/>
            <w:u w:val="single" w:color="auto"/>
            <w:color w:val="0000EE"/>
          </w:rPr>
          <w:t>March 24,</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 xml:space="preserve">2022, </w:t>
        </w:r>
      </w:hyperlink>
      <w:hyperlink r:id="rId44">
        <w:r>
          <w:rPr>
            <w:rFonts w:ascii="Arial" w:cs="Arial" w:eastAsia="Arial" w:hAnsi="Arial"/>
            <w:sz w:val="18"/>
            <w:szCs w:val="18"/>
            <w:u w:val="single" w:color="auto"/>
            <w:color w:val="0000EE"/>
          </w:rPr>
          <w:t xml:space="preserve">April 8, 2022, </w:t>
        </w:r>
      </w:hyperlink>
      <w:hyperlink r:id="rId45">
        <w:r>
          <w:rPr>
            <w:rFonts w:ascii="Arial" w:cs="Arial" w:eastAsia="Arial" w:hAnsi="Arial"/>
            <w:sz w:val="18"/>
            <w:szCs w:val="18"/>
            <w:u w:val="single" w:color="auto"/>
            <w:color w:val="0000EE"/>
          </w:rPr>
          <w:t xml:space="preserve">April 14, 2022 </w:t>
        </w:r>
      </w:hyperlink>
      <w:hyperlink r:id="rId4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6">
        <w:r>
          <w:rPr>
            <w:rFonts w:ascii="Arial" w:cs="Arial" w:eastAsia="Arial" w:hAnsi="Arial"/>
            <w:sz w:val="18"/>
            <w:szCs w:val="18"/>
            <w:u w:val="single" w:color="auto"/>
            <w:color w:val="0000EE"/>
          </w:rPr>
          <w:t>September 7, 2022;</w:t>
        </w:r>
      </w:hyperlink>
    </w:p>
    <w:p>
      <w:pPr>
        <w:spacing w:after="0" w:line="210" w:lineRule="exact"/>
        <w:rPr>
          <w:rFonts w:ascii="Arial" w:cs="Arial" w:eastAsia="Arial" w:hAnsi="Arial"/>
          <w:sz w:val="18"/>
          <w:szCs w:val="18"/>
          <w:color w:val="0000EE"/>
        </w:rPr>
      </w:pPr>
    </w:p>
    <w:p>
      <w:pPr>
        <w:ind w:left="1080" w:right="3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set forth under the heading “Description of Securities” in our prospectus filed pursuant to Rule 424(b) under the Securities Act on </w:t>
      </w:r>
      <w:hyperlink r:id="rId59">
        <w:r>
          <w:rPr>
            <w:rFonts w:ascii="Arial" w:cs="Arial" w:eastAsia="Arial" w:hAnsi="Arial"/>
            <w:sz w:val="18"/>
            <w:szCs w:val="18"/>
            <w:u w:val="single" w:color="auto"/>
            <w:color w:val="0000EE"/>
          </w:rPr>
          <w:t>August 10, 2021</w:t>
        </w:r>
      </w:hyperlink>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Financial Statements of Support.com, Inc. contained in </w:t>
      </w:r>
      <w:hyperlink r:id="rId49">
        <w:r>
          <w:rPr>
            <w:rFonts w:ascii="Arial" w:cs="Arial" w:eastAsia="Arial" w:hAnsi="Arial"/>
            <w:sz w:val="18"/>
            <w:szCs w:val="18"/>
            <w:u w:val="single" w:color="auto"/>
            <w:color w:val="0000EE"/>
          </w:rPr>
          <w:t>Exhibit 99.2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Current Report on Form 8-K filed on September 15, 2021 (Acc-no: 0001193125-21-273493).</w:t>
      </w:r>
    </w:p>
    <w:p>
      <w:pPr>
        <w:spacing w:after="0" w:line="170" w:lineRule="exact"/>
        <w:rPr>
          <w:rFonts w:ascii="Arial" w:cs="Arial" w:eastAsia="Arial" w:hAnsi="Arial"/>
          <w:sz w:val="18"/>
          <w:szCs w:val="18"/>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We will provide a copy of these filings (including certain exhibits that are specifically incorporated by reference therein) to each person, including any beneficial owner, to whom a prospectus is delivered. You may request a copy of any or all of these filings at no cost, by writing or calling us at:</w:t>
      </w:r>
    </w:p>
    <w:p>
      <w:pPr>
        <w:spacing w:after="0" w:line="184"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Greenidge Generation Holdings Inc.</w:t>
      </w:r>
    </w:p>
    <w:p>
      <w:pPr>
        <w:spacing w:after="0" w:line="23"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jc w:val="center"/>
        <w:ind w:right="-139"/>
        <w:spacing w:after="0" w:line="181" w:lineRule="auto"/>
        <w:rPr>
          <w:sz w:val="20"/>
          <w:szCs w:val="20"/>
          <w:color w:val="auto"/>
        </w:rPr>
      </w:pPr>
      <w:r>
        <w:rPr>
          <w:rFonts w:ascii="Arial" w:cs="Arial" w:eastAsia="Arial" w:hAnsi="Arial"/>
          <w:sz w:val="18"/>
          <w:szCs w:val="18"/>
          <w:color w:val="auto"/>
        </w:rPr>
        <w:t>135 Rennell Drive, 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Fairfield, CT 06890</w:t>
      </w:r>
    </w:p>
    <w:p>
      <w:pPr>
        <w:spacing w:after="0" w:line="7"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(203) 718-5960</w:t>
      </w:r>
    </w:p>
    <w:p>
      <w:pPr>
        <w:spacing w:after="0" w:line="211" w:lineRule="exact"/>
        <w:rPr>
          <w:rFonts w:ascii="Arial" w:cs="Arial" w:eastAsia="Arial" w:hAnsi="Arial"/>
          <w:sz w:val="18"/>
          <w:szCs w:val="18"/>
          <w:color w:val="auto"/>
        </w:rPr>
      </w:pPr>
    </w:p>
    <w:p>
      <w:pPr>
        <w:ind w:left="120" w:right="400" w:firstLine="991"/>
        <w:spacing w:after="0" w:line="342" w:lineRule="auto"/>
        <w:rPr>
          <w:sz w:val="20"/>
          <w:szCs w:val="20"/>
          <w:color w:val="auto"/>
        </w:rPr>
      </w:pPr>
      <w:r>
        <w:rPr>
          <w:rFonts w:ascii="Arial" w:cs="Arial" w:eastAsia="Arial" w:hAnsi="Arial"/>
          <w:sz w:val="16"/>
          <w:szCs w:val="16"/>
          <w:color w:val="auto"/>
        </w:rPr>
        <w:t>Copies of certain information filed by us with the SEC, including our Annual Report and Quarterly Reports, are also available on our website at www.greenidge.com. Information contained on our website or accessible through our website is not incorporated by reference herein.</w:t>
      </w:r>
    </w:p>
    <w:p>
      <w:pPr>
        <w:spacing w:after="0" w:line="124"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6"/>
          <w:szCs w:val="16"/>
          <w:color w:val="auto"/>
        </w:rPr>
        <w:t>You should read the information relating to us in this prospectus together with the information in the documents incorporated by reference.</w:t>
      </w:r>
    </w:p>
    <w:p>
      <w:pPr>
        <w:spacing w:after="0" w:line="46"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Nothing contained herein shall be deemed to incorporate information furnished, but not filed, with the SEC.</w:t>
      </w:r>
    </w:p>
    <w:p>
      <w:pPr>
        <w:spacing w:after="0" w:line="14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This prospectus and the documents incorporated or deemed to be incorporated by reference herein include certain statements that may constitute “forward-looking statements” within the meaning of Section 27A of the Securities Act, Section 21E of the Exchange Act and Private Securities Litigation Reform Act of 1995 (the “PSLRA”). All statements other than statements of historical fact are forward-looking statements for purposes of federal and state securities laws. These forward-looking statements involve uncertainties that could significantly affect our financial or operating results. These forward- 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As used herein, “we,” “us,” “our” and “Greenidge” and the “Company” refer to Greenidge Generation Holdings Inc. together with its consolidated subsidiaries.</w:t>
      </w:r>
    </w:p>
    <w:p>
      <w:pPr>
        <w:spacing w:after="0" w:line="172"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are qualified by the information contained herein, including the information contained under this caption and the information under the section “</w:t>
      </w:r>
      <w:r>
        <w:rPr>
          <w:rFonts w:ascii="Arial" w:cs="Arial" w:eastAsia="Arial" w:hAnsi="Arial"/>
          <w:sz w:val="17"/>
          <w:szCs w:val="17"/>
          <w:i w:val="1"/>
          <w:iCs w:val="1"/>
          <w:color w:val="auto"/>
        </w:rPr>
        <w:t>Risk Factors</w:t>
      </w:r>
      <w:r>
        <w:rPr>
          <w:rFonts w:ascii="Arial" w:cs="Arial" w:eastAsia="Arial" w:hAnsi="Arial"/>
          <w:sz w:val="17"/>
          <w:szCs w:val="17"/>
          <w:color w:val="auto"/>
        </w:rPr>
        <w:t>” in our most recent Annual Report on Form 10-K filed with the SEC, as supplemented by our Quarterly Reports on Form 10-Q, and discussed elsewhere in this prospectus, each prospectus supplement and in the documents incorporated by reference in this prospectus and each prospectus supplement. No assurance can be given that these are all of the factors that could cause actual results to vary materially from the forward-looking statements, whether written or oral, that may be made from time to time, whether as a result of new information, future events or otherwise, except as may be required by law.</w:t>
      </w:r>
    </w:p>
    <w:p>
      <w:pPr>
        <w:spacing w:after="0" w:line="178"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You should not put undue reliance on forward-looking statements. No assurances can be given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prospectus. All forward-looking statements speak only as of the date of this prospectus and we do not assume any duty to update or revise forward-looking statements, whether as a result of new information, future events, uncertainties or otherwise, as of any future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ABOUT GREENIDGE GENERATION HOLDINGS INC.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Cryptocurrency Datacenter and Power Generation Segment</w:t>
      </w:r>
    </w:p>
    <w:p>
      <w:pPr>
        <w:spacing w:after="0" w:line="117" w:lineRule="exact"/>
        <w:rPr>
          <w:sz w:val="20"/>
          <w:szCs w:val="20"/>
          <w:color w:val="auto"/>
        </w:rPr>
      </w:pPr>
    </w:p>
    <w:p>
      <w:pPr>
        <w:ind w:left="120" w:right="60" w:firstLine="991"/>
        <w:spacing w:after="0" w:line="270" w:lineRule="auto"/>
        <w:rPr>
          <w:sz w:val="20"/>
          <w:szCs w:val="20"/>
          <w:color w:val="auto"/>
        </w:rPr>
      </w:pPr>
      <w:r>
        <w:rPr>
          <w:rFonts w:ascii="Arial" w:cs="Arial" w:eastAsia="Arial" w:hAnsi="Arial"/>
          <w:sz w:val="17"/>
          <w:szCs w:val="17"/>
          <w:color w:val="auto"/>
        </w:rPr>
        <w:t>We are a vertically integrated cryptocurrency datacenter and power generation company with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natural gas power generation facility. We generate all the power we require for our cryptocurrency datacenter operations in the New York Facility, where we enjoy relatively lower market prices for natural gas due to our access to the Millennium Gas Pipeline price hub. At the South Carolina Facility, we purchase power from a supplier of approximately 60% zero-carbon sourced energy. We believe our competitive advantages include relatively low fixed costs, an efficient mining fleet and in-house operational expertise. We are currently mining bitcoin and contributing to the security and transactability of the bitcoin ecosystem while concurrently supplying power to assist in meeting the power needs of homes and businesses in the region served by our New York Facility.</w:t>
      </w:r>
    </w:p>
    <w:p>
      <w:pPr>
        <w:spacing w:after="0" w:line="181"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As of June 30, 2022, we powered approximately 83 MW of mining capacity capable of producing an estimated aggregate hash rate of 2.5 EH/s at our facilities, substantially all of which is dedicated to bitcoin mining. Our Cryptocurrency Datacenter and Power Generation segment generates revenue i) through the exchange of bitcoins earned by application-specific integrated circuit computers (“ASICs” or “miners”) as rewards and transaction fees for U.S. dollars and, to a much lesser extent, through revenue earned from third parties for hosting ASICs owned by third parties and providing operations, maintenance and other blockchain related services to third parties and ii) through the sale of electricity generated by our power plant, and not consumed in cryptocurrency datacenter operations, to New York State’s power grid at prices set on a daily basis through the New York Independent System Operator (“NYISO”) wholesale market. We opportunistically increase or decrease the total amount of electricity sold by the power plant based on prevailing prices in the wholesale electricity market.</w:t>
      </w:r>
    </w:p>
    <w:p>
      <w:pPr>
        <w:spacing w:after="0" w:line="178" w:lineRule="exact"/>
        <w:rPr>
          <w:sz w:val="20"/>
          <w:szCs w:val="20"/>
          <w:color w:val="auto"/>
        </w:rPr>
      </w:pPr>
    </w:p>
    <w:p>
      <w:pPr>
        <w:ind w:left="120" w:right="100" w:firstLine="991"/>
        <w:spacing w:after="0" w:line="270" w:lineRule="auto"/>
        <w:rPr>
          <w:sz w:val="20"/>
          <w:szCs w:val="20"/>
          <w:color w:val="auto"/>
        </w:rPr>
      </w:pPr>
      <w:r>
        <w:rPr>
          <w:rFonts w:ascii="Arial" w:cs="Arial" w:eastAsia="Arial" w:hAnsi="Arial"/>
          <w:sz w:val="17"/>
          <w:szCs w:val="17"/>
          <w:color w:val="auto"/>
        </w:rPr>
        <w:t>We believe that, over the long-term, behind-the-meter power generation capability provides a stable, cost-effective source of power for cryptocurrency datacenter activities. Our behind-the-meter power generation capability provides us with stable delivery due to the absence of any contract negotiation risk with third-party power suppliers, the absence of transmission and distribution cost risk and the firm delivery of natural gas for our New York Facility via our captive pipeline. Furthermore, our New York Facility has operated with minimal downtime for maintenance and repairs over recent years. Notwithstanding the structural stability of our behind-the-meter capabilities, we do however procure natural gas at our New York Facility through a third-party energy manager which schedules delivery of our natural gas needs from the wholesale market which is subject to price volatility. We procure the majority of our natural gas at spot prices and enter into fixed price forward contracts from time to time for the purchase of a portion of anticipated natural gas purchases based on prevailing market conditions to partially mitigate the financial impacts of natural gas price volatility and to manage commodity risk.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Support Services Segment</w:t>
      </w:r>
    </w:p>
    <w:p>
      <w:pPr>
        <w:spacing w:after="0" w:line="117" w:lineRule="exact"/>
        <w:rPr>
          <w:sz w:val="20"/>
          <w:szCs w:val="20"/>
          <w:color w:val="auto"/>
        </w:rPr>
      </w:pPr>
    </w:p>
    <w:p>
      <w:pPr>
        <w:ind w:left="120" w:right="460" w:firstLine="991"/>
        <w:spacing w:after="0" w:line="259" w:lineRule="auto"/>
        <w:rPr>
          <w:sz w:val="20"/>
          <w:szCs w:val="20"/>
          <w:color w:val="auto"/>
        </w:rPr>
      </w:pPr>
      <w:r>
        <w:rPr>
          <w:rFonts w:ascii="Arial" w:cs="Arial" w:eastAsia="Arial" w:hAnsi="Arial"/>
          <w:sz w:val="18"/>
          <w:szCs w:val="18"/>
          <w:color w:val="auto"/>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Support.com and Merger Sub.</w:t>
      </w:r>
    </w:p>
    <w:p>
      <w:pPr>
        <w:spacing w:after="0" w:line="187" w:lineRule="exact"/>
        <w:rPr>
          <w:sz w:val="20"/>
          <w:szCs w:val="20"/>
          <w:color w:val="auto"/>
        </w:rPr>
      </w:pPr>
    </w:p>
    <w:p>
      <w:pPr>
        <w:ind w:left="120" w:right="80" w:firstLine="991"/>
        <w:spacing w:after="0" w:line="275" w:lineRule="auto"/>
        <w:rPr>
          <w:sz w:val="20"/>
          <w:szCs w:val="20"/>
          <w:color w:val="auto"/>
        </w:rPr>
      </w:pPr>
      <w:r>
        <w:rPr>
          <w:rFonts w:ascii="Arial" w:cs="Arial" w:eastAsia="Arial" w:hAnsi="Arial"/>
          <w:sz w:val="17"/>
          <w:szCs w:val="17"/>
          <w:color w:val="auto"/>
        </w:rPr>
        <w:t>Our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 through direct customer downloads and sale via partners. The Support Services segment operates primarily in the United States, but also has employees located in Philippines, India, Mexico, Columbia and Canada, including staff providing support services.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ind w:left="120" w:right="100" w:firstLine="991"/>
        <w:spacing w:after="0" w:line="263" w:lineRule="auto"/>
        <w:rPr>
          <w:sz w:val="20"/>
          <w:szCs w:val="20"/>
          <w:color w:val="auto"/>
        </w:rPr>
      </w:pPr>
      <w:r>
        <w:rPr>
          <w:rFonts w:ascii="Arial" w:cs="Arial" w:eastAsia="Arial" w:hAnsi="Arial"/>
          <w:sz w:val="18"/>
          <w:szCs w:val="18"/>
          <w:color w:val="auto"/>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spacing w:after="0" w:line="8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 404(b) of the Sarbanes-Oxley Act;</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submit certain executive compensation matters to shareholder advisory votes, such as “say-on-pay,” “say-on-frequency” and pay ratio; and</w:t>
      </w:r>
    </w:p>
    <w:p>
      <w:pPr>
        <w:spacing w:after="0" w:line="153"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70"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8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We will remain an “emerging growth company” for up to five years, or until the earliest of (i) the last day of the first fiscal year in which our total annual gross revenues exceed $1.07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188"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equals or exceeds $700 million as of the end of that year’s second fiscal quarter.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Exemption</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Atlas Capital Resources L.P. (“Atlas”) and its affiliates currently control approximately 90% of the voting power of our outstanding capital stock and have the power to elect a majority of our directors. Pursuant to Nasdaq listing standards, a company of which more than 50% of the voting power for the election of directors is held by an individual, a group or another company qualifies as a “controlled company.” As a controlled company, we are exempt from certain Nasdaq corporate governance requirements, including the requirements to have (i) a board comprised of a majority of independent directors; (ii) compensation of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If we cease to be a “controlled company” and our shares continue to be listed on the Nasdaq Global Select Market, we will be required to comply with these standards and, depending on the independence-determination with respect to our then-current directors, we may be required to add additional directors to our board in order to achieve such compliance within the applicable transition periods.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Our principal executive offices are located at 135 Rennell Drive, 3rd Floor Fairfield, CT 06890, and our telephone number is (203) 718-5960. We maintain a website at www.greenidge.com. Information on our website, or accessible through our website, is not incorporated by reference into or otherwise part of this prospectus.</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320" w:top="459" w:right="10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and any related free writing prospectus, together with all of the other information included in this prospectus, any prospectus supplement, any free writing prospectus and the documents we incorporate by reference herein or therein,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When we offer and sell any securities pursuant to a prospectus supplement, we may include additional risk factors relevant to such securities in the prospectus supplement. Please read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Unless otherwise specified in an accompanying prospectus supplement, we will use the net proceeds we receive from the sale of the securities covered by this prospectus for general corporate purposes, which may include, among other things, paying or refinancing all or a portion of our indebtedness at the time, and funding acquisitions, capital expenditures and working capital.</w:t>
      </w:r>
    </w:p>
    <w:p>
      <w:pPr>
        <w:spacing w:after="0" w:line="184"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actual application of the net proceeds from the sale of any particular offering of securities using this prospectus will be described in the applicable prospectus supplement relating to such offering.</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9" w:right="6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class A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options (whether or not for over-allotments) under which the underwriters may purchase additional shares of class A common stock from us;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securities exchange or market on which the class A common stock offered in the prospectus supplement may be listed.</w:t>
      </w:r>
    </w:p>
    <w:p>
      <w:pPr>
        <w:spacing w:after="0" w:line="225"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4"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84"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ind w:left="120" w:right="320" w:firstLine="991"/>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46"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8"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70"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70"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left="120" w:right="20" w:firstLine="991"/>
        <w:spacing w:after="0" w:line="296"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The validity of the issuance of the securities offered in this prospectus will be passed upon for us by Shearman &amp; Sterling LLP. An investment vehicle comprised of certain partners of Shearman &amp; Sterling LLP, members of their families and other related persons has an interest in us representing less than 0.25% of our aggregate capital stock.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320" w:top="459" w:right="5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40" w:firstLine="991"/>
        <w:spacing w:after="0" w:line="286" w:lineRule="auto"/>
        <w:rPr>
          <w:sz w:val="20"/>
          <w:szCs w:val="20"/>
          <w:color w:val="auto"/>
        </w:rPr>
      </w:pPr>
      <w:r>
        <w:rPr>
          <w:rFonts w:ascii="Arial" w:cs="Arial" w:eastAsia="Arial" w:hAnsi="Arial"/>
          <w:sz w:val="17"/>
          <w:szCs w:val="17"/>
          <w:color w:val="auto"/>
        </w:rPr>
        <w:t>Our consolidated financial statements as of and for the years ended December 31, 2021 and 2020 incorporated by reference herein, have been audited by Armanino LLP, an independent registered public accounting firm, as set forth in their report, incorporated by reference herein, and are included in reliance upon the report given on the authority of such firm as experts in accounting and auditing.</w:t>
      </w:r>
    </w:p>
    <w:p>
      <w:pPr>
        <w:spacing w:after="0" w:line="165"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The consolidated financial statements of Support.com as of and for the years ended December 31, 2020 and 2019 incorporated by reference herein, have been audited by Plante &amp; Moran, PLLC, an independent registered public accounting firm, as set forth in their report, which is incorporated by reference herein, and are included in reliance upon the report given on the authority of such firm as experts in accounting and auditing.</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320" w:top="459" w:right="5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Up to $22,800,000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340360</wp:posOffset>
            </wp:positionV>
            <wp:extent cx="2442845" cy="565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24428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4220" w:type="dxa"/>
            <w:vAlign w:val="bottom"/>
          </w:tcPr>
          <w:p>
            <w:pPr>
              <w:ind w:left="1300"/>
              <w:spacing w:after="0"/>
              <w:rPr>
                <w:sz w:val="20"/>
                <w:szCs w:val="20"/>
                <w:color w:val="auto"/>
              </w:rPr>
            </w:pPr>
            <w:r>
              <w:rPr>
                <w:rFonts w:ascii="Arial" w:cs="Arial" w:eastAsia="Arial" w:hAnsi="Arial"/>
                <w:sz w:val="29"/>
                <w:szCs w:val="29"/>
                <w:b w:val="1"/>
                <w:bCs w:val="1"/>
                <w:color w:val="auto"/>
              </w:rPr>
              <w:t>B. Riley Securities</w:t>
            </w:r>
          </w:p>
        </w:tc>
        <w:tc>
          <w:tcPr>
            <w:tcW w:w="6800" w:type="dxa"/>
            <w:vAlign w:val="bottom"/>
          </w:tcPr>
          <w:p>
            <w:pPr>
              <w:ind w:left="2080"/>
              <w:spacing w:after="0"/>
              <w:rPr>
                <w:sz w:val="20"/>
                <w:szCs w:val="20"/>
                <w:color w:val="auto"/>
              </w:rPr>
            </w:pPr>
            <w:r>
              <w:rPr>
                <w:rFonts w:ascii="Arial" w:cs="Arial" w:eastAsia="Arial" w:hAnsi="Arial"/>
                <w:sz w:val="29"/>
                <w:szCs w:val="29"/>
                <w:b w:val="1"/>
                <w:bCs w:val="1"/>
                <w:color w:val="auto"/>
              </w:rPr>
              <w:t>Northland Capital Markets</w:t>
            </w:r>
          </w:p>
        </w:tc>
      </w:tr>
      <w:tr>
        <w:trPr>
          <w:trHeight w:val="643"/>
        </w:trPr>
        <w:tc>
          <w:tcPr>
            <w:tcW w:w="4220" w:type="dxa"/>
            <w:vAlign w:val="bottom"/>
          </w:tcPr>
          <w:p>
            <w:pPr>
              <w:spacing w:after="0"/>
              <w:rPr>
                <w:sz w:val="24"/>
                <w:szCs w:val="24"/>
                <w:color w:val="auto"/>
              </w:rPr>
            </w:pPr>
          </w:p>
        </w:tc>
        <w:tc>
          <w:tcPr>
            <w:tcW w:w="6800" w:type="dxa"/>
            <w:vAlign w:val="bottom"/>
          </w:tcPr>
          <w:p>
            <w:pPr>
              <w:ind w:left="680"/>
              <w:spacing w:after="0"/>
              <w:rPr>
                <w:sz w:val="20"/>
                <w:szCs w:val="20"/>
                <w:color w:val="auto"/>
              </w:rPr>
            </w:pPr>
            <w:r>
              <w:rPr>
                <w:rFonts w:ascii="Arial" w:cs="Arial" w:eastAsia="Arial" w:hAnsi="Arial"/>
                <w:sz w:val="18"/>
                <w:szCs w:val="18"/>
                <w:b w:val="1"/>
                <w:bCs w:val="1"/>
                <w:color w:val="auto"/>
              </w:rPr>
              <w:t>October 4, 2022</w:t>
            </w:r>
          </w:p>
        </w:tc>
      </w:tr>
      <w:tr>
        <w:trPr>
          <w:trHeight w:val="648"/>
        </w:trPr>
        <w:tc>
          <w:tcPr>
            <w:tcW w:w="42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r>
        <w:trPr>
          <w:trHeight w:val="95"/>
        </w:trPr>
        <w:tc>
          <w:tcPr>
            <w:tcW w:w="4220" w:type="dxa"/>
            <w:vAlign w:val="bottom"/>
            <w:tcBorders>
              <w:bottom w:val="single" w:sz="8" w:color="auto"/>
            </w:tcBorders>
          </w:tcPr>
          <w:p>
            <w:pPr>
              <w:spacing w:after="0"/>
              <w:rPr>
                <w:sz w:val="8"/>
                <w:szCs w:val="8"/>
                <w:color w:val="auto"/>
              </w:rPr>
            </w:pPr>
          </w:p>
        </w:tc>
        <w:tc>
          <w:tcPr>
            <w:tcW w:w="68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jpe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jpeg"/><Relationship Id="rId74" Type="http://schemas.openxmlformats.org/officeDocument/2006/relationships/image" Target="media/image56.png"/><Relationship Id="rId75" Type="http://schemas.openxmlformats.org/officeDocument/2006/relationships/image" Target="media/image57.png"/><Relationship Id="rId40" Type="http://schemas.openxmlformats.org/officeDocument/2006/relationships/hyperlink" Target="http://www.sec.gov/ix?doc=/Archives/edgar/data/1844971/000095017022005214/gree-20211231.htm" TargetMode="External"/><Relationship Id="rId41" Type="http://schemas.openxmlformats.org/officeDocument/2006/relationships/hyperlink" Target="http://www.sec.gov/ix?doc=/Archives/edgar/data/1844971/000095017022010116/gree-20220331.htm" TargetMode="External"/><Relationship Id="rId42" Type="http://schemas.openxmlformats.org/officeDocument/2006/relationships/hyperlink" Target="http://www.sec.gov/ix?doc=/Archives/edgar/data/1844971/000095017022017424/gree-20220630.htm" TargetMode="External"/><Relationship Id="rId43" Type="http://schemas.openxmlformats.org/officeDocument/2006/relationships/hyperlink" Target="http://www.sec.gov/ix?doc=/Archives/edgar/data/1844971/000119312522084017/d340294d8k.htm" TargetMode="External"/><Relationship Id="rId44" Type="http://schemas.openxmlformats.org/officeDocument/2006/relationships/hyperlink" Target="http://www.sec.gov/ix?doc=/Archives/edgar/data/1844971/000119312522099511/d305185d8k.htm" TargetMode="External"/><Relationship Id="rId45" Type="http://schemas.openxmlformats.org/officeDocument/2006/relationships/hyperlink" Target="http://www.sec.gov/ix?doc=/Archives/edgar/data/1844971/000119312522105679/d322201d8k.htm" TargetMode="External"/><Relationship Id="rId46" Type="http://schemas.openxmlformats.org/officeDocument/2006/relationships/hyperlink" Target="http://www.sec.gov/ix?doc=/Archives/edgar/data/1844971/000095017022018188/gree-20220906.htm" TargetMode="External"/><Relationship Id="rId47" Type="http://schemas.openxmlformats.org/officeDocument/2006/relationships/hyperlink" Target="http://www.sec.gov/ix?doc=/Archives/edgar/data/1844971/000119312522256918/d258070d8k.htm" TargetMode="External"/><Relationship Id="rId48" Type="http://schemas.openxmlformats.org/officeDocument/2006/relationships/hyperlink" Target="http://www.sec.gov/Archives/edgar/data/1844971/000095017022005214/gree-ex4_6.htm" TargetMode="External"/><Relationship Id="rId49" Type="http://schemas.openxmlformats.org/officeDocument/2006/relationships/hyperlink" Target="http://www.sec.gov/Archives/edgar/data/1844971/000119312521273493/d163523dex992.htm" TargetMode="External"/><Relationship Id="rId59" Type="http://schemas.openxmlformats.org/officeDocument/2006/relationships/hyperlink" Target="http://www.sec.gov/Archives/edgar/data/1844971/000119312521241844/d166032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2022-10-05T05:33:53Z</dcterms:created>
  <dcterms:modified xsi:type="dcterms:W3CDTF">2022-10-05T05:33:53Z</dcterms:modified>
</cp:coreProperties>
</file>